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35808" w14:textId="0FC2C3E6" w:rsidR="00765D16" w:rsidRDefault="0099482A" w:rsidP="00CD2A4F">
      <w:pPr>
        <w:spacing w:after="0" w:line="240" w:lineRule="auto"/>
        <w:ind w:left="10773"/>
        <w:jc w:val="both"/>
        <w:rPr>
          <w:rFonts w:ascii="Times New Roman" w:hAnsi="Times New Roman" w:cs="Times New Roman"/>
          <w:sz w:val="24"/>
          <w:szCs w:val="24"/>
        </w:rPr>
      </w:pPr>
      <w:r>
        <w:rPr>
          <w:rFonts w:ascii="Times New Roman" w:hAnsi="Times New Roman" w:cs="Times New Roman"/>
          <w:sz w:val="24"/>
          <w:szCs w:val="24"/>
        </w:rPr>
        <w:t>PATVIRTINTA</w:t>
      </w:r>
    </w:p>
    <w:p w14:paraId="65FF8A58" w14:textId="61A29EB5" w:rsidR="0099482A" w:rsidRDefault="0099482A" w:rsidP="00CD2A4F">
      <w:pPr>
        <w:spacing w:after="0" w:line="240" w:lineRule="auto"/>
        <w:ind w:left="10773"/>
        <w:jc w:val="both"/>
        <w:rPr>
          <w:rFonts w:ascii="Times New Roman" w:hAnsi="Times New Roman" w:cs="Times New Roman"/>
          <w:sz w:val="24"/>
          <w:szCs w:val="24"/>
        </w:rPr>
      </w:pPr>
      <w:r>
        <w:rPr>
          <w:rFonts w:ascii="Times New Roman" w:hAnsi="Times New Roman" w:cs="Times New Roman"/>
          <w:sz w:val="24"/>
          <w:szCs w:val="24"/>
        </w:rPr>
        <w:t xml:space="preserve">Kauno technologijos universiteto rektoriaus 2015 m. lapkričio </w:t>
      </w:r>
      <w:r w:rsidR="00045E12">
        <w:rPr>
          <w:rFonts w:ascii="Times New Roman" w:hAnsi="Times New Roman" w:cs="Times New Roman"/>
          <w:sz w:val="24"/>
          <w:szCs w:val="24"/>
        </w:rPr>
        <w:t>13</w:t>
      </w:r>
      <w:r>
        <w:rPr>
          <w:rFonts w:ascii="Times New Roman" w:hAnsi="Times New Roman" w:cs="Times New Roman"/>
          <w:sz w:val="24"/>
          <w:szCs w:val="24"/>
        </w:rPr>
        <w:t xml:space="preserve">  d.</w:t>
      </w:r>
    </w:p>
    <w:p w14:paraId="04E1AA0E" w14:textId="3B77B7F2" w:rsidR="007155CD" w:rsidRDefault="0099482A" w:rsidP="00CD2A4F">
      <w:pPr>
        <w:spacing w:after="0" w:line="240" w:lineRule="auto"/>
        <w:ind w:left="10773"/>
        <w:jc w:val="both"/>
        <w:rPr>
          <w:rFonts w:ascii="Times New Roman" w:hAnsi="Times New Roman" w:cs="Times New Roman"/>
          <w:b/>
          <w:sz w:val="24"/>
          <w:szCs w:val="24"/>
        </w:rPr>
      </w:pPr>
      <w:r>
        <w:rPr>
          <w:rFonts w:ascii="Times New Roman" w:hAnsi="Times New Roman" w:cs="Times New Roman"/>
          <w:sz w:val="24"/>
          <w:szCs w:val="24"/>
        </w:rPr>
        <w:t>įsakymu Nr. A-</w:t>
      </w:r>
      <w:r w:rsidR="00045E12" w:rsidRPr="00045E12">
        <w:rPr>
          <w:rFonts w:ascii="Times New Roman" w:hAnsi="Times New Roman" w:cs="Times New Roman"/>
          <w:sz w:val="24"/>
          <w:szCs w:val="24"/>
        </w:rPr>
        <w:t>465</w:t>
      </w:r>
    </w:p>
    <w:p w14:paraId="683B9351" w14:textId="77777777" w:rsidR="007155CD" w:rsidRDefault="007155CD" w:rsidP="00DD1BF7">
      <w:pPr>
        <w:rPr>
          <w:rFonts w:ascii="Times New Roman" w:hAnsi="Times New Roman" w:cs="Times New Roman"/>
          <w:b/>
          <w:sz w:val="24"/>
          <w:szCs w:val="24"/>
        </w:rPr>
      </w:pPr>
    </w:p>
    <w:p w14:paraId="09B30E58" w14:textId="77777777" w:rsidR="00950365" w:rsidRDefault="00950365" w:rsidP="00A74546">
      <w:pPr>
        <w:jc w:val="center"/>
        <w:rPr>
          <w:rFonts w:ascii="Times New Roman" w:hAnsi="Times New Roman" w:cs="Times New Roman"/>
          <w:b/>
          <w:sz w:val="24"/>
          <w:szCs w:val="24"/>
        </w:rPr>
      </w:pPr>
    </w:p>
    <w:p w14:paraId="2ECF3634" w14:textId="541B4F43" w:rsidR="00A74546" w:rsidRPr="00A74546" w:rsidRDefault="00DD1BF7" w:rsidP="00A74546">
      <w:pPr>
        <w:jc w:val="center"/>
        <w:rPr>
          <w:rFonts w:ascii="Times New Roman" w:hAnsi="Times New Roman" w:cs="Times New Roman"/>
          <w:b/>
          <w:sz w:val="24"/>
          <w:szCs w:val="24"/>
        </w:rPr>
      </w:pPr>
      <w:r w:rsidRPr="0053436E">
        <w:rPr>
          <w:rFonts w:ascii="Times New Roman" w:hAnsi="Times New Roman" w:cs="Times New Roman"/>
          <w:b/>
          <w:sz w:val="24"/>
          <w:szCs w:val="24"/>
        </w:rPr>
        <w:t>KAUNO TECHNOLOGIJOS UNIVERSITETO VEIKL</w:t>
      </w:r>
      <w:bookmarkStart w:id="0" w:name="_GoBack"/>
      <w:bookmarkEnd w:id="0"/>
      <w:r w:rsidRPr="0053436E">
        <w:rPr>
          <w:rFonts w:ascii="Times New Roman" w:hAnsi="Times New Roman" w:cs="Times New Roman"/>
          <w:b/>
          <w:sz w:val="24"/>
          <w:szCs w:val="24"/>
        </w:rPr>
        <w:t>OS GERINIMO PRIEMONIŲ PLANAS</w:t>
      </w:r>
    </w:p>
    <w:p w14:paraId="5E5F4593" w14:textId="77777777" w:rsidR="00A74546" w:rsidRDefault="00A74546" w:rsidP="00A74546">
      <w:pPr>
        <w:spacing w:after="0" w:line="240" w:lineRule="auto"/>
      </w:pPr>
    </w:p>
    <w:p w14:paraId="5BA088F5" w14:textId="77777777" w:rsidR="00A74546" w:rsidRDefault="00A74546" w:rsidP="00A74546">
      <w:pPr>
        <w:spacing w:after="0" w:line="240" w:lineRule="auto"/>
      </w:pPr>
    </w:p>
    <w:p w14:paraId="38B2FE63" w14:textId="77777777" w:rsidR="00A74546" w:rsidRDefault="00A74546" w:rsidP="00A74546">
      <w:pPr>
        <w:spacing w:after="0" w:line="240" w:lineRule="auto"/>
      </w:pPr>
    </w:p>
    <w:p w14:paraId="45D5FE92" w14:textId="77777777" w:rsidR="00A74546" w:rsidRDefault="00A74546" w:rsidP="00A74546">
      <w:pPr>
        <w:spacing w:after="0" w:line="240" w:lineRule="auto"/>
      </w:pPr>
    </w:p>
    <w:p w14:paraId="3D940261" w14:textId="77777777" w:rsidR="00A74546" w:rsidRDefault="00A74546" w:rsidP="00A74546">
      <w:pPr>
        <w:spacing w:after="0" w:line="240" w:lineRule="auto"/>
      </w:pPr>
    </w:p>
    <w:p w14:paraId="722C06D2" w14:textId="77777777" w:rsidR="00A74546" w:rsidRDefault="00A74546" w:rsidP="00A74546">
      <w:pPr>
        <w:spacing w:after="0" w:line="240" w:lineRule="auto"/>
      </w:pPr>
    </w:p>
    <w:p w14:paraId="1E0EA05A" w14:textId="77777777" w:rsidR="00A74546" w:rsidRDefault="00A74546" w:rsidP="00A74546">
      <w:pPr>
        <w:spacing w:after="0" w:line="240" w:lineRule="auto"/>
      </w:pPr>
    </w:p>
    <w:tbl>
      <w:tblPr>
        <w:tblW w:w="140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8"/>
        <w:gridCol w:w="4818"/>
        <w:gridCol w:w="4901"/>
        <w:gridCol w:w="2217"/>
        <w:gridCol w:w="1176"/>
      </w:tblGrid>
      <w:tr w:rsidR="00A74546" w:rsidRPr="00AC2A30" w14:paraId="61C4FADB" w14:textId="77777777" w:rsidTr="00966FC0">
        <w:trPr>
          <w:trHeight w:val="525"/>
        </w:trPr>
        <w:tc>
          <w:tcPr>
            <w:tcW w:w="948" w:type="dxa"/>
            <w:shd w:val="clear" w:color="auto" w:fill="auto"/>
            <w:vAlign w:val="center"/>
            <w:hideMark/>
          </w:tcPr>
          <w:p w14:paraId="76FDB7A0" w14:textId="77777777" w:rsidR="00A74546" w:rsidRPr="00AC2A30" w:rsidRDefault="00A74546" w:rsidP="00E125DE">
            <w:pPr>
              <w:spacing w:after="0" w:line="240" w:lineRule="auto"/>
              <w:jc w:val="center"/>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Nr.</w:t>
            </w:r>
          </w:p>
        </w:tc>
        <w:tc>
          <w:tcPr>
            <w:tcW w:w="4818" w:type="dxa"/>
            <w:shd w:val="clear" w:color="auto" w:fill="auto"/>
            <w:vAlign w:val="center"/>
            <w:hideMark/>
          </w:tcPr>
          <w:p w14:paraId="7E7A62BE" w14:textId="77777777" w:rsidR="00A74546" w:rsidRPr="00AC2A30" w:rsidRDefault="00A74546" w:rsidP="00E125DE">
            <w:pPr>
              <w:spacing w:after="0" w:line="240" w:lineRule="auto"/>
              <w:jc w:val="center"/>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Rekomendacija</w:t>
            </w:r>
            <w:r>
              <w:rPr>
                <w:rFonts w:ascii="Times New Roman" w:eastAsia="Times New Roman" w:hAnsi="Times New Roman" w:cs="Times New Roman"/>
                <w:b/>
                <w:bCs/>
                <w:color w:val="000000"/>
                <w:sz w:val="24"/>
                <w:szCs w:val="24"/>
                <w:lang w:eastAsia="lt-LT"/>
              </w:rPr>
              <w:t xml:space="preserve"> </w:t>
            </w:r>
            <w:r w:rsidRPr="00AC2A30">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 xml:space="preserve"> </w:t>
            </w:r>
            <w:r w:rsidRPr="00AC2A30">
              <w:rPr>
                <w:rFonts w:ascii="Times New Roman" w:eastAsia="Times New Roman" w:hAnsi="Times New Roman" w:cs="Times New Roman"/>
                <w:b/>
                <w:bCs/>
                <w:color w:val="000000"/>
                <w:sz w:val="24"/>
                <w:szCs w:val="24"/>
                <w:lang w:eastAsia="lt-LT"/>
              </w:rPr>
              <w:t>Tobulintina sritis</w:t>
            </w:r>
          </w:p>
        </w:tc>
        <w:tc>
          <w:tcPr>
            <w:tcW w:w="4901" w:type="dxa"/>
            <w:shd w:val="clear" w:color="auto" w:fill="auto"/>
            <w:vAlign w:val="center"/>
            <w:hideMark/>
          </w:tcPr>
          <w:p w14:paraId="382B0956" w14:textId="77777777" w:rsidR="00A74546" w:rsidRPr="00AC2A30" w:rsidRDefault="00A74546" w:rsidP="00E125DE">
            <w:pPr>
              <w:spacing w:after="0" w:line="240" w:lineRule="auto"/>
              <w:jc w:val="center"/>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Priemonės</w:t>
            </w:r>
          </w:p>
        </w:tc>
        <w:tc>
          <w:tcPr>
            <w:tcW w:w="2217" w:type="dxa"/>
            <w:shd w:val="clear" w:color="auto" w:fill="auto"/>
            <w:vAlign w:val="center"/>
            <w:hideMark/>
          </w:tcPr>
          <w:p w14:paraId="6611FAE3" w14:textId="77777777" w:rsidR="00A74546" w:rsidRPr="00AC2A30" w:rsidRDefault="00A74546" w:rsidP="00E125DE">
            <w:pPr>
              <w:spacing w:after="0" w:line="240" w:lineRule="auto"/>
              <w:jc w:val="center"/>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Atsakingas</w:t>
            </w:r>
            <w:r>
              <w:rPr>
                <w:rFonts w:ascii="Times New Roman" w:eastAsia="Times New Roman" w:hAnsi="Times New Roman" w:cs="Times New Roman"/>
                <w:b/>
                <w:bCs/>
                <w:color w:val="000000"/>
                <w:sz w:val="24"/>
                <w:szCs w:val="24"/>
                <w:lang w:eastAsia="lt-LT"/>
              </w:rPr>
              <w:t xml:space="preserve"> už įgyvendinimą</w:t>
            </w:r>
          </w:p>
        </w:tc>
        <w:tc>
          <w:tcPr>
            <w:tcW w:w="1176" w:type="dxa"/>
            <w:shd w:val="clear" w:color="auto" w:fill="auto"/>
            <w:vAlign w:val="center"/>
            <w:hideMark/>
          </w:tcPr>
          <w:p w14:paraId="5AD2BDB7" w14:textId="77777777" w:rsidR="00A74546" w:rsidRPr="00AC2A30" w:rsidRDefault="00A74546" w:rsidP="00E125DE">
            <w:pPr>
              <w:spacing w:after="0" w:line="240" w:lineRule="auto"/>
              <w:jc w:val="center"/>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Terminai</w:t>
            </w:r>
          </w:p>
        </w:tc>
      </w:tr>
      <w:tr w:rsidR="00A74546" w:rsidRPr="00AC2A30" w14:paraId="6E673D9E" w14:textId="77777777" w:rsidTr="00966FC0">
        <w:trPr>
          <w:trHeight w:val="315"/>
        </w:trPr>
        <w:tc>
          <w:tcPr>
            <w:tcW w:w="948" w:type="dxa"/>
            <w:shd w:val="clear" w:color="auto" w:fill="auto"/>
            <w:vAlign w:val="center"/>
            <w:hideMark/>
          </w:tcPr>
          <w:p w14:paraId="5CD89A8B" w14:textId="77777777" w:rsidR="00A74546" w:rsidRPr="00AC2A30" w:rsidRDefault="00A74546" w:rsidP="00E125DE">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w:t>
            </w:r>
          </w:p>
        </w:tc>
        <w:tc>
          <w:tcPr>
            <w:tcW w:w="11936" w:type="dxa"/>
            <w:gridSpan w:val="3"/>
            <w:shd w:val="clear" w:color="auto" w:fill="auto"/>
            <w:vAlign w:val="center"/>
            <w:hideMark/>
          </w:tcPr>
          <w:p w14:paraId="7CADB16A" w14:textId="77777777" w:rsidR="00A74546" w:rsidRPr="00AC2A30" w:rsidRDefault="00A74546" w:rsidP="00E125DE">
            <w:pPr>
              <w:spacing w:after="0" w:line="240" w:lineRule="auto"/>
              <w:jc w:val="center"/>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Strateginio valdymo sritis</w:t>
            </w:r>
          </w:p>
        </w:tc>
        <w:tc>
          <w:tcPr>
            <w:tcW w:w="1176" w:type="dxa"/>
            <w:shd w:val="clear" w:color="auto" w:fill="auto"/>
            <w:vAlign w:val="center"/>
            <w:hideMark/>
          </w:tcPr>
          <w:p w14:paraId="2E7C376E" w14:textId="77777777" w:rsidR="00A74546" w:rsidRPr="00AC2A30" w:rsidRDefault="00A74546" w:rsidP="00E125DE">
            <w:pPr>
              <w:spacing w:after="0" w:line="240" w:lineRule="auto"/>
              <w:jc w:val="center"/>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 </w:t>
            </w:r>
          </w:p>
        </w:tc>
      </w:tr>
      <w:tr w:rsidR="00A74546" w:rsidRPr="00AC2A30" w14:paraId="34930377" w14:textId="77777777" w:rsidTr="00966FC0">
        <w:trPr>
          <w:trHeight w:val="510"/>
        </w:trPr>
        <w:tc>
          <w:tcPr>
            <w:tcW w:w="948" w:type="dxa"/>
            <w:vMerge w:val="restart"/>
            <w:shd w:val="clear" w:color="auto" w:fill="auto"/>
            <w:vAlign w:val="center"/>
            <w:hideMark/>
          </w:tcPr>
          <w:p w14:paraId="09B3BB41" w14:textId="77777777" w:rsidR="00A74546" w:rsidRPr="00AC2A30" w:rsidRDefault="00A74546" w:rsidP="00E125DE">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w:t>
            </w:r>
            <w:r w:rsidRPr="00AC2A30">
              <w:rPr>
                <w:rFonts w:ascii="Times New Roman" w:eastAsia="Times New Roman" w:hAnsi="Times New Roman" w:cs="Times New Roman"/>
                <w:b/>
                <w:bCs/>
                <w:color w:val="000000"/>
                <w:sz w:val="24"/>
                <w:szCs w:val="24"/>
                <w:lang w:eastAsia="lt-LT"/>
              </w:rPr>
              <w:t>.1</w:t>
            </w:r>
          </w:p>
        </w:tc>
        <w:tc>
          <w:tcPr>
            <w:tcW w:w="4818" w:type="dxa"/>
            <w:vMerge w:val="restart"/>
            <w:shd w:val="clear" w:color="auto" w:fill="auto"/>
            <w:vAlign w:val="center"/>
            <w:hideMark/>
          </w:tcPr>
          <w:p w14:paraId="4F2372F8"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Toliau plėtoti ir stiprinti veiklos valdymą, siekiant padėti prorektoriams ir fakultetų vadovams įgyvendinti strateginius tikslus.</w:t>
            </w:r>
          </w:p>
        </w:tc>
        <w:tc>
          <w:tcPr>
            <w:tcW w:w="4901" w:type="dxa"/>
            <w:vMerge w:val="restart"/>
            <w:shd w:val="clear" w:color="auto" w:fill="auto"/>
            <w:vAlign w:val="center"/>
            <w:hideMark/>
          </w:tcPr>
          <w:p w14:paraId="1DFE8371"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Vystyti ir diegti veiklos valdymo informacines sistemas (studijų, mokslo, veiklos analitikos, dokumentų ir procesų valdymo, ir kt.)</w:t>
            </w:r>
            <w:r>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48053661"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 xml:space="preserve">Informacinių technologijų </w:t>
            </w:r>
            <w:r>
              <w:rPr>
                <w:rFonts w:ascii="Times New Roman" w:eastAsia="Times New Roman" w:hAnsi="Times New Roman" w:cs="Times New Roman"/>
                <w:color w:val="000000"/>
                <w:sz w:val="24"/>
                <w:szCs w:val="24"/>
                <w:lang w:eastAsia="lt-LT"/>
              </w:rPr>
              <w:t xml:space="preserve">departamento </w:t>
            </w:r>
            <w:r w:rsidRPr="00AC2A30">
              <w:rPr>
                <w:rFonts w:ascii="Times New Roman" w:eastAsia="Times New Roman" w:hAnsi="Times New Roman" w:cs="Times New Roman"/>
                <w:color w:val="000000"/>
                <w:sz w:val="24"/>
                <w:szCs w:val="24"/>
                <w:lang w:eastAsia="lt-LT"/>
              </w:rPr>
              <w:t>direktorius</w:t>
            </w:r>
          </w:p>
        </w:tc>
        <w:tc>
          <w:tcPr>
            <w:tcW w:w="1176" w:type="dxa"/>
            <w:vMerge w:val="restart"/>
            <w:shd w:val="clear" w:color="auto" w:fill="auto"/>
            <w:vAlign w:val="center"/>
            <w:hideMark/>
          </w:tcPr>
          <w:p w14:paraId="0B040726"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12</w:t>
            </w:r>
          </w:p>
        </w:tc>
      </w:tr>
      <w:tr w:rsidR="00A74546" w:rsidRPr="00AC2A30" w14:paraId="7B8F26D1" w14:textId="77777777" w:rsidTr="00966FC0">
        <w:trPr>
          <w:trHeight w:val="300"/>
        </w:trPr>
        <w:tc>
          <w:tcPr>
            <w:tcW w:w="948" w:type="dxa"/>
            <w:vMerge/>
            <w:vAlign w:val="center"/>
            <w:hideMark/>
          </w:tcPr>
          <w:p w14:paraId="06F8AAB9" w14:textId="77777777" w:rsidR="00A74546" w:rsidRPr="00AC2A30" w:rsidRDefault="00A74546" w:rsidP="00E125DE">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0CBA416B"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606C60EA"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38CECFF1"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w:t>
            </w:r>
            <w:r w:rsidRPr="00AC2A30">
              <w:rPr>
                <w:rFonts w:ascii="Times New Roman" w:eastAsia="Times New Roman" w:hAnsi="Times New Roman" w:cs="Times New Roman"/>
                <w:color w:val="000000"/>
                <w:sz w:val="24"/>
                <w:szCs w:val="24"/>
                <w:lang w:eastAsia="lt-LT"/>
              </w:rPr>
              <w:t>rorektoriai</w:t>
            </w:r>
          </w:p>
        </w:tc>
        <w:tc>
          <w:tcPr>
            <w:tcW w:w="1176" w:type="dxa"/>
            <w:vMerge/>
            <w:vAlign w:val="center"/>
            <w:hideMark/>
          </w:tcPr>
          <w:p w14:paraId="710C2FB5"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p>
        </w:tc>
      </w:tr>
      <w:tr w:rsidR="00A74546" w:rsidRPr="00AC2A30" w14:paraId="3767734C" w14:textId="77777777" w:rsidTr="00966FC0">
        <w:trPr>
          <w:trHeight w:val="315"/>
        </w:trPr>
        <w:tc>
          <w:tcPr>
            <w:tcW w:w="948" w:type="dxa"/>
            <w:vMerge/>
            <w:vAlign w:val="center"/>
            <w:hideMark/>
          </w:tcPr>
          <w:p w14:paraId="3DD107B4" w14:textId="77777777" w:rsidR="00A74546" w:rsidRPr="00AC2A30" w:rsidRDefault="00A74546" w:rsidP="00E125DE">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17214DE6"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73B62B4C"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2EA7EC09"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Pr="00AC2A30">
              <w:rPr>
                <w:rFonts w:ascii="Times New Roman" w:eastAsia="Times New Roman" w:hAnsi="Times New Roman" w:cs="Times New Roman"/>
                <w:color w:val="000000"/>
                <w:sz w:val="24"/>
                <w:szCs w:val="24"/>
                <w:lang w:eastAsia="lt-LT"/>
              </w:rPr>
              <w:t>ykdomasis direktorius</w:t>
            </w:r>
          </w:p>
        </w:tc>
        <w:tc>
          <w:tcPr>
            <w:tcW w:w="1176" w:type="dxa"/>
            <w:vMerge/>
            <w:vAlign w:val="center"/>
            <w:hideMark/>
          </w:tcPr>
          <w:p w14:paraId="7B16DE9F"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p>
        </w:tc>
      </w:tr>
      <w:tr w:rsidR="00A74546" w:rsidRPr="00AC2A30" w14:paraId="1FEF596F" w14:textId="77777777" w:rsidTr="00966FC0">
        <w:trPr>
          <w:trHeight w:val="300"/>
        </w:trPr>
        <w:tc>
          <w:tcPr>
            <w:tcW w:w="948" w:type="dxa"/>
            <w:vMerge w:val="restart"/>
            <w:shd w:val="clear" w:color="auto" w:fill="auto"/>
            <w:vAlign w:val="center"/>
            <w:hideMark/>
          </w:tcPr>
          <w:p w14:paraId="16BEF611" w14:textId="77777777" w:rsidR="00A74546" w:rsidRPr="00AC2A30" w:rsidRDefault="00A74546" w:rsidP="00E125DE">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w:t>
            </w:r>
            <w:r w:rsidRPr="00AC2A30">
              <w:rPr>
                <w:rFonts w:ascii="Times New Roman" w:eastAsia="Times New Roman" w:hAnsi="Times New Roman" w:cs="Times New Roman"/>
                <w:b/>
                <w:bCs/>
                <w:color w:val="000000"/>
                <w:sz w:val="24"/>
                <w:szCs w:val="24"/>
                <w:lang w:eastAsia="lt-LT"/>
              </w:rPr>
              <w:t>.2</w:t>
            </w:r>
          </w:p>
        </w:tc>
        <w:tc>
          <w:tcPr>
            <w:tcW w:w="4818" w:type="dxa"/>
            <w:vMerge w:val="restart"/>
            <w:shd w:val="clear" w:color="auto" w:fill="auto"/>
            <w:vAlign w:val="center"/>
            <w:hideMark/>
          </w:tcPr>
          <w:p w14:paraId="36F29A48"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Tęsti atsinaujinimo procesą, susijusį su KTU organizacinės struktūros reorganizavimu. Tiksliau, turėtų būti tęsiamas darbas sujungti fakultetus ir institutus.</w:t>
            </w:r>
          </w:p>
        </w:tc>
        <w:tc>
          <w:tcPr>
            <w:tcW w:w="4901" w:type="dxa"/>
            <w:vMerge w:val="restart"/>
            <w:shd w:val="clear" w:color="auto" w:fill="auto"/>
            <w:vAlign w:val="center"/>
            <w:hideMark/>
          </w:tcPr>
          <w:p w14:paraId="1415872A"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Parengti fakultetų ir institutų tinklo optimizavimo galimybių studiją</w:t>
            </w:r>
            <w:r>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18EF02EB"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w:t>
            </w:r>
            <w:r w:rsidRPr="00AC2A30">
              <w:rPr>
                <w:rFonts w:ascii="Times New Roman" w:eastAsia="Times New Roman" w:hAnsi="Times New Roman" w:cs="Times New Roman"/>
                <w:color w:val="000000"/>
                <w:sz w:val="24"/>
                <w:szCs w:val="24"/>
                <w:lang w:eastAsia="lt-LT"/>
              </w:rPr>
              <w:t>ektorius</w:t>
            </w:r>
          </w:p>
        </w:tc>
        <w:tc>
          <w:tcPr>
            <w:tcW w:w="1176" w:type="dxa"/>
            <w:vMerge w:val="restart"/>
            <w:shd w:val="clear" w:color="auto" w:fill="auto"/>
            <w:vAlign w:val="center"/>
            <w:hideMark/>
          </w:tcPr>
          <w:p w14:paraId="244FAEBD"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12</w:t>
            </w:r>
          </w:p>
        </w:tc>
      </w:tr>
      <w:tr w:rsidR="00A74546" w:rsidRPr="00AC2A30" w14:paraId="4D5F4C5A" w14:textId="77777777" w:rsidTr="00966FC0">
        <w:trPr>
          <w:trHeight w:val="315"/>
        </w:trPr>
        <w:tc>
          <w:tcPr>
            <w:tcW w:w="948" w:type="dxa"/>
            <w:vMerge/>
            <w:vAlign w:val="center"/>
            <w:hideMark/>
          </w:tcPr>
          <w:p w14:paraId="3C46C9D2" w14:textId="77777777" w:rsidR="00A74546" w:rsidRPr="00AC2A30" w:rsidRDefault="00A74546" w:rsidP="00E125DE">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02B9569C"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1B3C3F91"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715F6D8D"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w:t>
            </w:r>
            <w:r w:rsidRPr="00AC2A30">
              <w:rPr>
                <w:rFonts w:ascii="Times New Roman" w:eastAsia="Times New Roman" w:hAnsi="Times New Roman" w:cs="Times New Roman"/>
                <w:color w:val="000000"/>
                <w:sz w:val="24"/>
                <w:szCs w:val="24"/>
                <w:lang w:eastAsia="lt-LT"/>
              </w:rPr>
              <w:t>rorektoriai</w:t>
            </w:r>
          </w:p>
        </w:tc>
        <w:tc>
          <w:tcPr>
            <w:tcW w:w="1176" w:type="dxa"/>
            <w:vMerge/>
            <w:vAlign w:val="center"/>
            <w:hideMark/>
          </w:tcPr>
          <w:p w14:paraId="74FA9CD3"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p>
        </w:tc>
      </w:tr>
      <w:tr w:rsidR="00A74546" w:rsidRPr="00AC2A30" w14:paraId="74BF8DB3" w14:textId="77777777" w:rsidTr="00966FC0">
        <w:trPr>
          <w:trHeight w:val="545"/>
        </w:trPr>
        <w:tc>
          <w:tcPr>
            <w:tcW w:w="948" w:type="dxa"/>
            <w:vMerge w:val="restart"/>
            <w:shd w:val="clear" w:color="auto" w:fill="auto"/>
            <w:vAlign w:val="center"/>
            <w:hideMark/>
          </w:tcPr>
          <w:p w14:paraId="5C0102B8" w14:textId="77777777" w:rsidR="00A74546" w:rsidRPr="00AC2A30" w:rsidRDefault="00A74546" w:rsidP="00E125DE">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w:t>
            </w:r>
            <w:r w:rsidRPr="00AC2A30">
              <w:rPr>
                <w:rFonts w:ascii="Times New Roman" w:eastAsia="Times New Roman" w:hAnsi="Times New Roman" w:cs="Times New Roman"/>
                <w:b/>
                <w:bCs/>
                <w:color w:val="000000"/>
                <w:sz w:val="24"/>
                <w:szCs w:val="24"/>
                <w:lang w:eastAsia="lt-LT"/>
              </w:rPr>
              <w:t>.3</w:t>
            </w:r>
          </w:p>
        </w:tc>
        <w:tc>
          <w:tcPr>
            <w:tcW w:w="4818" w:type="dxa"/>
            <w:vMerge w:val="restart"/>
            <w:shd w:val="clear" w:color="auto" w:fill="auto"/>
            <w:vAlign w:val="center"/>
            <w:hideMark/>
          </w:tcPr>
          <w:p w14:paraId="2DD22782"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Apsvarstyti tolesnio bendradarbiavimo su kitomis institucijomis Kaune plėtojimą, kuris padėtų dėstymui, moksliniams tyrimams ir administravimui, kad būtų sukurta masinės gamybos ekonomika ir sutelkti akademiniai ištekliai.</w:t>
            </w:r>
          </w:p>
        </w:tc>
        <w:tc>
          <w:tcPr>
            <w:tcW w:w="4901" w:type="dxa"/>
            <w:shd w:val="clear" w:color="auto" w:fill="auto"/>
            <w:vAlign w:val="center"/>
            <w:hideMark/>
          </w:tcPr>
          <w:p w14:paraId="724277D2"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Inicijuoti modulių dėstymą kartu su kitais universitetais (vyksta derybos su VDU)</w:t>
            </w:r>
            <w:r>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7AFBAC12"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Rektorius</w:t>
            </w:r>
          </w:p>
        </w:tc>
        <w:tc>
          <w:tcPr>
            <w:tcW w:w="1176" w:type="dxa"/>
            <w:shd w:val="clear" w:color="auto" w:fill="auto"/>
            <w:vAlign w:val="center"/>
            <w:hideMark/>
          </w:tcPr>
          <w:p w14:paraId="24052740"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 xml:space="preserve">09 </w:t>
            </w:r>
          </w:p>
        </w:tc>
      </w:tr>
      <w:tr w:rsidR="00A74546" w:rsidRPr="00AC2A30" w14:paraId="6E4CD7C6" w14:textId="77777777" w:rsidTr="00966FC0">
        <w:trPr>
          <w:trHeight w:val="681"/>
        </w:trPr>
        <w:tc>
          <w:tcPr>
            <w:tcW w:w="948" w:type="dxa"/>
            <w:vMerge/>
            <w:vAlign w:val="center"/>
            <w:hideMark/>
          </w:tcPr>
          <w:p w14:paraId="73AC08DB" w14:textId="77777777" w:rsidR="00A74546" w:rsidRPr="00AC2A30" w:rsidRDefault="00A74546" w:rsidP="00E125DE">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29DCAB14"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p>
        </w:tc>
        <w:tc>
          <w:tcPr>
            <w:tcW w:w="4901" w:type="dxa"/>
            <w:shd w:val="clear" w:color="auto" w:fill="auto"/>
            <w:vAlign w:val="center"/>
            <w:hideMark/>
          </w:tcPr>
          <w:p w14:paraId="119BD8F0"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Iniciuoti derybas su LSMU ir VDU dėl galimo konsorciumo steigiant STEM laboratoriją</w:t>
            </w:r>
            <w:r>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22DE2B48"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Studijų prorektorius</w:t>
            </w:r>
          </w:p>
        </w:tc>
        <w:tc>
          <w:tcPr>
            <w:tcW w:w="1176" w:type="dxa"/>
            <w:shd w:val="clear" w:color="auto" w:fill="auto"/>
            <w:vAlign w:val="center"/>
            <w:hideMark/>
          </w:tcPr>
          <w:p w14:paraId="402F368F"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09</w:t>
            </w:r>
          </w:p>
        </w:tc>
      </w:tr>
      <w:tr w:rsidR="00A74546" w:rsidRPr="00AC2A30" w14:paraId="64741375" w14:textId="77777777" w:rsidTr="00966FC0">
        <w:trPr>
          <w:trHeight w:val="691"/>
        </w:trPr>
        <w:tc>
          <w:tcPr>
            <w:tcW w:w="948" w:type="dxa"/>
            <w:vMerge/>
            <w:vAlign w:val="center"/>
            <w:hideMark/>
          </w:tcPr>
          <w:p w14:paraId="14FEC03E" w14:textId="77777777" w:rsidR="00A74546" w:rsidRPr="00AC2A30" w:rsidRDefault="00A74546" w:rsidP="00E125DE">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0C21C100"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p>
        </w:tc>
        <w:tc>
          <w:tcPr>
            <w:tcW w:w="4901" w:type="dxa"/>
            <w:shd w:val="clear" w:color="auto" w:fill="auto"/>
            <w:vAlign w:val="center"/>
            <w:hideMark/>
          </w:tcPr>
          <w:p w14:paraId="05F5D281"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Parengti KTU ir LSMU sujungimo projekto įgyvendinimo 2018</w:t>
            </w:r>
            <w:r>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2020</w:t>
            </w:r>
            <w:r>
              <w:rPr>
                <w:rFonts w:ascii="Times New Roman" w:eastAsia="Times New Roman" w:hAnsi="Times New Roman" w:cs="Times New Roman"/>
                <w:color w:val="000000"/>
                <w:sz w:val="24"/>
                <w:szCs w:val="24"/>
                <w:lang w:eastAsia="lt-LT"/>
              </w:rPr>
              <w:t xml:space="preserve"> m.</w:t>
            </w:r>
            <w:r w:rsidRPr="00AC2A30">
              <w:rPr>
                <w:rFonts w:ascii="Times New Roman" w:eastAsia="Times New Roman" w:hAnsi="Times New Roman" w:cs="Times New Roman"/>
                <w:color w:val="000000"/>
                <w:sz w:val="24"/>
                <w:szCs w:val="24"/>
                <w:lang w:eastAsia="lt-LT"/>
              </w:rPr>
              <w:t xml:space="preserve"> planą.</w:t>
            </w:r>
          </w:p>
        </w:tc>
        <w:tc>
          <w:tcPr>
            <w:tcW w:w="2217" w:type="dxa"/>
            <w:shd w:val="clear" w:color="auto" w:fill="auto"/>
            <w:vAlign w:val="center"/>
            <w:hideMark/>
          </w:tcPr>
          <w:p w14:paraId="42994680"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Rektorius</w:t>
            </w:r>
          </w:p>
        </w:tc>
        <w:tc>
          <w:tcPr>
            <w:tcW w:w="1176" w:type="dxa"/>
            <w:shd w:val="clear" w:color="auto" w:fill="auto"/>
            <w:vAlign w:val="center"/>
            <w:hideMark/>
          </w:tcPr>
          <w:p w14:paraId="0D3279B7" w14:textId="77777777" w:rsidR="00A74546" w:rsidRPr="00AC2A30" w:rsidRDefault="00A74546" w:rsidP="00E125DE">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09</w:t>
            </w:r>
          </w:p>
        </w:tc>
      </w:tr>
    </w:tbl>
    <w:p w14:paraId="1BB740A4" w14:textId="77777777" w:rsidR="00A74546" w:rsidRDefault="00A74546" w:rsidP="00A74546">
      <w:pPr>
        <w:spacing w:after="0" w:line="240" w:lineRule="auto"/>
      </w:pPr>
    </w:p>
    <w:p w14:paraId="64EF556B" w14:textId="77777777" w:rsidR="00966FC0" w:rsidRDefault="00966FC0" w:rsidP="00A74546">
      <w:pPr>
        <w:spacing w:after="0" w:line="240" w:lineRule="auto"/>
      </w:pPr>
    </w:p>
    <w:p w14:paraId="1DFEEAB6" w14:textId="77777777" w:rsidR="00966FC0" w:rsidRDefault="00966FC0" w:rsidP="00A74546">
      <w:pPr>
        <w:spacing w:after="0" w:line="240" w:lineRule="auto"/>
      </w:pPr>
    </w:p>
    <w:tbl>
      <w:tblPr>
        <w:tblpPr w:leftFromText="180" w:rightFromText="180" w:vertAnchor="text" w:tblpX="-10" w:tblpY="1"/>
        <w:tblOverlap w:val="never"/>
        <w:tblW w:w="140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8"/>
        <w:gridCol w:w="4818"/>
        <w:gridCol w:w="4901"/>
        <w:gridCol w:w="2217"/>
        <w:gridCol w:w="1176"/>
      </w:tblGrid>
      <w:tr w:rsidR="001B5EF9" w:rsidRPr="00AC2A30" w14:paraId="1AC36CA0" w14:textId="77777777" w:rsidTr="00966FC0">
        <w:trPr>
          <w:trHeight w:val="300"/>
        </w:trPr>
        <w:tc>
          <w:tcPr>
            <w:tcW w:w="948" w:type="dxa"/>
            <w:vMerge w:val="restart"/>
            <w:shd w:val="clear" w:color="auto" w:fill="auto"/>
            <w:vAlign w:val="center"/>
            <w:hideMark/>
          </w:tcPr>
          <w:p w14:paraId="4A91DDC0" w14:textId="21702D3C" w:rsidR="001B5EF9" w:rsidRPr="00AC2A30" w:rsidRDefault="0099482A">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w:t>
            </w:r>
            <w:r w:rsidR="001B5EF9" w:rsidRPr="00AC2A30">
              <w:rPr>
                <w:rFonts w:ascii="Times New Roman" w:eastAsia="Times New Roman" w:hAnsi="Times New Roman" w:cs="Times New Roman"/>
                <w:b/>
                <w:bCs/>
                <w:color w:val="000000"/>
                <w:sz w:val="24"/>
                <w:szCs w:val="24"/>
                <w:lang w:eastAsia="lt-LT"/>
              </w:rPr>
              <w:t>.4</w:t>
            </w:r>
          </w:p>
        </w:tc>
        <w:tc>
          <w:tcPr>
            <w:tcW w:w="4818" w:type="dxa"/>
            <w:vMerge w:val="restart"/>
            <w:shd w:val="clear" w:color="auto" w:fill="auto"/>
            <w:vAlign w:val="center"/>
            <w:hideMark/>
          </w:tcPr>
          <w:p w14:paraId="58F4E3A4"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Atsižvelgiant į organizacijos sudėtingumą, iniciatyvų spektrą ir kintančią išorinę aplinką, peržiūrėti, kaip kuriami strateginiai tikslai, siekiant išmatuojamų pasiekimų.</w:t>
            </w:r>
          </w:p>
        </w:tc>
        <w:tc>
          <w:tcPr>
            <w:tcW w:w="4901" w:type="dxa"/>
            <w:vMerge w:val="restart"/>
            <w:shd w:val="clear" w:color="auto" w:fill="auto"/>
            <w:vAlign w:val="center"/>
            <w:hideMark/>
          </w:tcPr>
          <w:p w14:paraId="45CE0310" w14:textId="5E78F0BD"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Peržiūrėti strateginio valdymo procesą</w:t>
            </w:r>
            <w:r w:rsidR="0099482A">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0B5859A7"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Vykdomasis direktorius</w:t>
            </w:r>
          </w:p>
        </w:tc>
        <w:tc>
          <w:tcPr>
            <w:tcW w:w="1176" w:type="dxa"/>
            <w:vMerge w:val="restart"/>
            <w:shd w:val="clear" w:color="auto" w:fill="auto"/>
            <w:vAlign w:val="center"/>
            <w:hideMark/>
          </w:tcPr>
          <w:p w14:paraId="5774112A" w14:textId="678422B2"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sidR="0099482A">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03</w:t>
            </w:r>
          </w:p>
        </w:tc>
      </w:tr>
      <w:tr w:rsidR="001B5EF9" w:rsidRPr="00AC2A30" w14:paraId="4149135D" w14:textId="77777777" w:rsidTr="00966FC0">
        <w:trPr>
          <w:trHeight w:val="920"/>
        </w:trPr>
        <w:tc>
          <w:tcPr>
            <w:tcW w:w="948" w:type="dxa"/>
            <w:vMerge/>
            <w:vAlign w:val="center"/>
            <w:hideMark/>
          </w:tcPr>
          <w:p w14:paraId="562AECF9" w14:textId="77777777" w:rsidR="001B5EF9" w:rsidRPr="00AC2A30" w:rsidRDefault="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47D1E4CC"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5A4345DE"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61DC34BB" w14:textId="533406F1"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Strateginio planavimo ir kokybės direktor</w:t>
            </w:r>
            <w:r w:rsidR="007F41BB">
              <w:rPr>
                <w:rFonts w:ascii="Times New Roman" w:eastAsia="Times New Roman" w:hAnsi="Times New Roman" w:cs="Times New Roman"/>
                <w:color w:val="000000"/>
                <w:sz w:val="24"/>
                <w:szCs w:val="24"/>
                <w:lang w:eastAsia="lt-LT"/>
              </w:rPr>
              <w:t>ius</w:t>
            </w:r>
          </w:p>
        </w:tc>
        <w:tc>
          <w:tcPr>
            <w:tcW w:w="1176" w:type="dxa"/>
            <w:vMerge/>
            <w:vAlign w:val="center"/>
            <w:hideMark/>
          </w:tcPr>
          <w:p w14:paraId="57DFD707"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r>
      <w:tr w:rsidR="001B5EF9" w:rsidRPr="00AC2A30" w14:paraId="1074CFC2" w14:textId="77777777" w:rsidTr="00966FC0">
        <w:trPr>
          <w:trHeight w:val="300"/>
        </w:trPr>
        <w:tc>
          <w:tcPr>
            <w:tcW w:w="948" w:type="dxa"/>
            <w:vMerge/>
            <w:vAlign w:val="center"/>
            <w:hideMark/>
          </w:tcPr>
          <w:p w14:paraId="2B78BF3D" w14:textId="77777777" w:rsidR="001B5EF9" w:rsidRPr="00AC2A30" w:rsidRDefault="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524D4294"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4901" w:type="dxa"/>
            <w:vMerge w:val="restart"/>
            <w:shd w:val="clear" w:color="auto" w:fill="auto"/>
            <w:vAlign w:val="center"/>
            <w:hideMark/>
          </w:tcPr>
          <w:p w14:paraId="7900032D" w14:textId="2EB6193B"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Sumažinti strateginių rodiklių skaičių, naudojamą veiklos planavimo procese</w:t>
            </w:r>
          </w:p>
        </w:tc>
        <w:tc>
          <w:tcPr>
            <w:tcW w:w="2217" w:type="dxa"/>
            <w:shd w:val="clear" w:color="auto" w:fill="auto"/>
            <w:vAlign w:val="center"/>
            <w:hideMark/>
          </w:tcPr>
          <w:p w14:paraId="1086C645"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Vykdomasis direktorius</w:t>
            </w:r>
          </w:p>
        </w:tc>
        <w:tc>
          <w:tcPr>
            <w:tcW w:w="1176" w:type="dxa"/>
            <w:vMerge w:val="restart"/>
            <w:shd w:val="clear" w:color="auto" w:fill="auto"/>
            <w:vAlign w:val="center"/>
            <w:hideMark/>
          </w:tcPr>
          <w:p w14:paraId="1D70EE5B" w14:textId="0DFB2432"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2015</w:t>
            </w:r>
            <w:r w:rsidR="0099482A">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12</w:t>
            </w:r>
          </w:p>
        </w:tc>
      </w:tr>
      <w:tr w:rsidR="001B5EF9" w:rsidRPr="00AC2A30" w14:paraId="49195802" w14:textId="77777777" w:rsidTr="00966FC0">
        <w:trPr>
          <w:trHeight w:val="128"/>
        </w:trPr>
        <w:tc>
          <w:tcPr>
            <w:tcW w:w="948" w:type="dxa"/>
            <w:vMerge/>
            <w:vAlign w:val="center"/>
            <w:hideMark/>
          </w:tcPr>
          <w:p w14:paraId="6C530FE1" w14:textId="77777777" w:rsidR="001B5EF9" w:rsidRPr="00AC2A30" w:rsidRDefault="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499512BD"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76FCBAFE"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589E9669" w14:textId="76A84111"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Strateginio planavimo ir kokybės direktor</w:t>
            </w:r>
            <w:r w:rsidR="007F41BB">
              <w:rPr>
                <w:rFonts w:ascii="Times New Roman" w:eastAsia="Times New Roman" w:hAnsi="Times New Roman" w:cs="Times New Roman"/>
                <w:color w:val="000000"/>
                <w:sz w:val="24"/>
                <w:szCs w:val="24"/>
                <w:lang w:eastAsia="lt-LT"/>
              </w:rPr>
              <w:t>ius</w:t>
            </w:r>
          </w:p>
        </w:tc>
        <w:tc>
          <w:tcPr>
            <w:tcW w:w="1176" w:type="dxa"/>
            <w:vMerge/>
            <w:vAlign w:val="center"/>
            <w:hideMark/>
          </w:tcPr>
          <w:p w14:paraId="56FD28F6"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r>
      <w:tr w:rsidR="001B5EF9" w:rsidRPr="00AC2A30" w14:paraId="0902B78D" w14:textId="77777777" w:rsidTr="00966FC0">
        <w:trPr>
          <w:trHeight w:val="300"/>
        </w:trPr>
        <w:tc>
          <w:tcPr>
            <w:tcW w:w="948" w:type="dxa"/>
            <w:vMerge w:val="restart"/>
            <w:shd w:val="clear" w:color="auto" w:fill="auto"/>
            <w:vAlign w:val="center"/>
            <w:hideMark/>
          </w:tcPr>
          <w:p w14:paraId="6C521B1E" w14:textId="2FD51E24" w:rsidR="001B5EF9" w:rsidRPr="00AC2A30" w:rsidRDefault="007F41BB">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w:t>
            </w:r>
            <w:r w:rsidR="001B5EF9" w:rsidRPr="00AC2A30">
              <w:rPr>
                <w:rFonts w:ascii="Times New Roman" w:eastAsia="Times New Roman" w:hAnsi="Times New Roman" w:cs="Times New Roman"/>
                <w:b/>
                <w:bCs/>
                <w:color w:val="000000"/>
                <w:sz w:val="24"/>
                <w:szCs w:val="24"/>
                <w:lang w:eastAsia="lt-LT"/>
              </w:rPr>
              <w:t>.5</w:t>
            </w:r>
          </w:p>
        </w:tc>
        <w:tc>
          <w:tcPr>
            <w:tcW w:w="4818" w:type="dxa"/>
            <w:vMerge w:val="restart"/>
            <w:shd w:val="clear" w:color="auto" w:fill="auto"/>
            <w:vAlign w:val="center"/>
            <w:hideMark/>
          </w:tcPr>
          <w:p w14:paraId="24E7384C"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 xml:space="preserve">Persvarstyti investavimo strategiją, kuri remia </w:t>
            </w:r>
            <w:proofErr w:type="spellStart"/>
            <w:r w:rsidRPr="00AC2A30">
              <w:rPr>
                <w:rFonts w:ascii="Times New Roman" w:eastAsia="Times New Roman" w:hAnsi="Times New Roman" w:cs="Times New Roman"/>
                <w:color w:val="000000"/>
                <w:sz w:val="24"/>
                <w:szCs w:val="24"/>
                <w:lang w:eastAsia="lt-LT"/>
              </w:rPr>
              <w:t>tarptautiškumą</w:t>
            </w:r>
            <w:proofErr w:type="spellEnd"/>
            <w:r w:rsidRPr="00AC2A30">
              <w:rPr>
                <w:rFonts w:ascii="Times New Roman" w:eastAsia="Times New Roman" w:hAnsi="Times New Roman" w:cs="Times New Roman"/>
                <w:color w:val="000000"/>
                <w:sz w:val="24"/>
                <w:szCs w:val="24"/>
                <w:lang w:eastAsia="lt-LT"/>
              </w:rPr>
              <w:t>, vidutinės trukmės ir ilgalaikius planus, taip pat trumpalaikius poreikius.</w:t>
            </w:r>
          </w:p>
        </w:tc>
        <w:tc>
          <w:tcPr>
            <w:tcW w:w="4901" w:type="dxa"/>
            <w:vMerge w:val="restart"/>
            <w:shd w:val="clear" w:color="auto" w:fill="auto"/>
            <w:vAlign w:val="center"/>
            <w:hideMark/>
          </w:tcPr>
          <w:p w14:paraId="556792C0" w14:textId="6ADE7B4E"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 xml:space="preserve">Parengti </w:t>
            </w:r>
            <w:r w:rsidR="007F41BB">
              <w:rPr>
                <w:rFonts w:ascii="Times New Roman" w:eastAsia="Times New Roman" w:hAnsi="Times New Roman" w:cs="Times New Roman"/>
                <w:color w:val="000000"/>
                <w:sz w:val="24"/>
                <w:szCs w:val="24"/>
                <w:lang w:eastAsia="lt-LT"/>
              </w:rPr>
              <w:t>U</w:t>
            </w:r>
            <w:r w:rsidR="005C4E52">
              <w:rPr>
                <w:rFonts w:ascii="Times New Roman" w:eastAsia="Times New Roman" w:hAnsi="Times New Roman" w:cs="Times New Roman"/>
                <w:color w:val="000000"/>
                <w:sz w:val="24"/>
                <w:szCs w:val="24"/>
                <w:lang w:eastAsia="lt-LT"/>
              </w:rPr>
              <w:t>niversiteto</w:t>
            </w:r>
            <w:r w:rsidRPr="00AC2A30">
              <w:rPr>
                <w:rFonts w:ascii="Times New Roman" w:eastAsia="Times New Roman" w:hAnsi="Times New Roman" w:cs="Times New Roman"/>
                <w:color w:val="000000"/>
                <w:sz w:val="24"/>
                <w:szCs w:val="24"/>
                <w:lang w:eastAsia="lt-LT"/>
              </w:rPr>
              <w:t xml:space="preserve"> investavimo strategijos gaires 2016</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2020</w:t>
            </w:r>
            <w:r w:rsidR="007F41BB">
              <w:rPr>
                <w:rFonts w:ascii="Times New Roman" w:eastAsia="Times New Roman" w:hAnsi="Times New Roman" w:cs="Times New Roman"/>
                <w:color w:val="000000"/>
                <w:sz w:val="24"/>
                <w:szCs w:val="24"/>
                <w:lang w:eastAsia="lt-LT"/>
              </w:rPr>
              <w:t xml:space="preserve"> m</w:t>
            </w:r>
            <w:r w:rsidRPr="00AC2A30">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0175B31C"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Prorektoriai</w:t>
            </w:r>
          </w:p>
        </w:tc>
        <w:tc>
          <w:tcPr>
            <w:tcW w:w="1176" w:type="dxa"/>
            <w:vMerge w:val="restart"/>
            <w:shd w:val="clear" w:color="auto" w:fill="auto"/>
            <w:vAlign w:val="center"/>
            <w:hideMark/>
          </w:tcPr>
          <w:p w14:paraId="1B64E71B" w14:textId="742D3DF8"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10</w:t>
            </w:r>
          </w:p>
        </w:tc>
      </w:tr>
      <w:tr w:rsidR="001B5EF9" w:rsidRPr="00AC2A30" w14:paraId="1C61CAC1" w14:textId="77777777" w:rsidTr="00966FC0">
        <w:trPr>
          <w:trHeight w:val="315"/>
        </w:trPr>
        <w:tc>
          <w:tcPr>
            <w:tcW w:w="948" w:type="dxa"/>
            <w:vMerge/>
            <w:vAlign w:val="center"/>
            <w:hideMark/>
          </w:tcPr>
          <w:p w14:paraId="484858CD" w14:textId="77777777" w:rsidR="001B5EF9" w:rsidRPr="00AC2A30" w:rsidRDefault="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1A8397FD"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456A8918"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231A42CD"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Vykdomasis direktorius</w:t>
            </w:r>
          </w:p>
        </w:tc>
        <w:tc>
          <w:tcPr>
            <w:tcW w:w="1176" w:type="dxa"/>
            <w:vMerge/>
            <w:vAlign w:val="center"/>
            <w:hideMark/>
          </w:tcPr>
          <w:p w14:paraId="41816739"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r>
      <w:tr w:rsidR="001B5EF9" w:rsidRPr="00AC2A30" w14:paraId="0BDA533D" w14:textId="77777777" w:rsidTr="00966FC0">
        <w:trPr>
          <w:trHeight w:val="300"/>
        </w:trPr>
        <w:tc>
          <w:tcPr>
            <w:tcW w:w="948" w:type="dxa"/>
            <w:vMerge w:val="restart"/>
            <w:shd w:val="clear" w:color="auto" w:fill="auto"/>
            <w:vAlign w:val="center"/>
            <w:hideMark/>
          </w:tcPr>
          <w:p w14:paraId="6EAC07CE" w14:textId="06AF3CD2" w:rsidR="001B5EF9" w:rsidRPr="00AC2A30" w:rsidRDefault="007F41BB">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w:t>
            </w:r>
            <w:r w:rsidR="001B5EF9" w:rsidRPr="00AC2A30">
              <w:rPr>
                <w:rFonts w:ascii="Times New Roman" w:eastAsia="Times New Roman" w:hAnsi="Times New Roman" w:cs="Times New Roman"/>
                <w:b/>
                <w:bCs/>
                <w:color w:val="000000"/>
                <w:sz w:val="24"/>
                <w:szCs w:val="24"/>
                <w:lang w:eastAsia="lt-LT"/>
              </w:rPr>
              <w:t>.6</w:t>
            </w:r>
          </w:p>
        </w:tc>
        <w:tc>
          <w:tcPr>
            <w:tcW w:w="4818" w:type="dxa"/>
            <w:vMerge w:val="restart"/>
            <w:shd w:val="clear" w:color="auto" w:fill="auto"/>
            <w:vAlign w:val="center"/>
            <w:hideMark/>
          </w:tcPr>
          <w:p w14:paraId="58B464CB"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Baigti kurti visa apimančią žmogiškųjų išteklių strategiją, kuri apibrėžia darbo jėgos tobulinimą, darbuotojų planus ir veiklos valdymą.</w:t>
            </w:r>
          </w:p>
        </w:tc>
        <w:tc>
          <w:tcPr>
            <w:tcW w:w="4901" w:type="dxa"/>
            <w:vMerge w:val="restart"/>
            <w:shd w:val="clear" w:color="auto" w:fill="auto"/>
            <w:vAlign w:val="center"/>
            <w:hideMark/>
          </w:tcPr>
          <w:p w14:paraId="1B8B9C6F" w14:textId="6680DFEF"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 xml:space="preserve">Parengti Žmogiškųjų išteklių </w:t>
            </w:r>
            <w:r w:rsidR="00BA41A2">
              <w:rPr>
                <w:rFonts w:ascii="Times New Roman" w:eastAsia="Times New Roman" w:hAnsi="Times New Roman" w:cs="Times New Roman"/>
                <w:color w:val="000000"/>
                <w:sz w:val="24"/>
                <w:szCs w:val="24"/>
                <w:lang w:eastAsia="lt-LT"/>
              </w:rPr>
              <w:t xml:space="preserve">valdymo </w:t>
            </w:r>
            <w:r w:rsidRPr="00AC2A30">
              <w:rPr>
                <w:rFonts w:ascii="Times New Roman" w:eastAsia="Times New Roman" w:hAnsi="Times New Roman" w:cs="Times New Roman"/>
                <w:color w:val="000000"/>
                <w:sz w:val="24"/>
                <w:szCs w:val="24"/>
                <w:lang w:eastAsia="lt-LT"/>
              </w:rPr>
              <w:t>strategiją</w:t>
            </w:r>
            <w:r w:rsidR="007F41BB">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55FD1C40"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Vykdomasis direktorius</w:t>
            </w:r>
          </w:p>
        </w:tc>
        <w:tc>
          <w:tcPr>
            <w:tcW w:w="1176" w:type="dxa"/>
            <w:vMerge w:val="restart"/>
            <w:shd w:val="clear" w:color="auto" w:fill="auto"/>
            <w:vAlign w:val="center"/>
            <w:hideMark/>
          </w:tcPr>
          <w:p w14:paraId="6A31997D" w14:textId="0BBD0328"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01</w:t>
            </w:r>
          </w:p>
        </w:tc>
      </w:tr>
      <w:tr w:rsidR="001B5EF9" w:rsidRPr="00AC2A30" w14:paraId="070BBCFD" w14:textId="77777777" w:rsidTr="00966FC0">
        <w:trPr>
          <w:trHeight w:val="525"/>
        </w:trPr>
        <w:tc>
          <w:tcPr>
            <w:tcW w:w="948" w:type="dxa"/>
            <w:vMerge/>
            <w:vAlign w:val="center"/>
            <w:hideMark/>
          </w:tcPr>
          <w:p w14:paraId="51B8042E" w14:textId="77777777" w:rsidR="001B5EF9" w:rsidRPr="00AC2A30" w:rsidRDefault="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1B853B52"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61416DC3"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261CBBCA"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Žmogiškųjų išteklių direktorius</w:t>
            </w:r>
          </w:p>
        </w:tc>
        <w:tc>
          <w:tcPr>
            <w:tcW w:w="1176" w:type="dxa"/>
            <w:vMerge/>
            <w:vAlign w:val="center"/>
            <w:hideMark/>
          </w:tcPr>
          <w:p w14:paraId="375D0814"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r>
      <w:tr w:rsidR="0053436E" w:rsidRPr="00AC2A30" w14:paraId="12720F05" w14:textId="77777777" w:rsidTr="00966FC0">
        <w:trPr>
          <w:trHeight w:val="315"/>
        </w:trPr>
        <w:tc>
          <w:tcPr>
            <w:tcW w:w="948" w:type="dxa"/>
            <w:shd w:val="clear" w:color="auto" w:fill="auto"/>
            <w:vAlign w:val="center"/>
            <w:hideMark/>
          </w:tcPr>
          <w:p w14:paraId="685DE197" w14:textId="6D2ED837" w:rsidR="0053436E" w:rsidRPr="00AC2A30" w:rsidRDefault="007F41BB">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2</w:t>
            </w:r>
          </w:p>
        </w:tc>
        <w:tc>
          <w:tcPr>
            <w:tcW w:w="13112" w:type="dxa"/>
            <w:gridSpan w:val="4"/>
            <w:shd w:val="clear" w:color="auto" w:fill="auto"/>
            <w:vAlign w:val="center"/>
            <w:hideMark/>
          </w:tcPr>
          <w:p w14:paraId="67F08D85" w14:textId="3F16642B" w:rsidR="0053436E" w:rsidRPr="00AC2A30" w:rsidRDefault="0053436E">
            <w:pPr>
              <w:spacing w:after="0" w:line="240" w:lineRule="auto"/>
              <w:jc w:val="center"/>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b/>
                <w:bCs/>
                <w:color w:val="000000"/>
                <w:sz w:val="24"/>
                <w:szCs w:val="24"/>
                <w:lang w:eastAsia="lt-LT"/>
              </w:rPr>
              <w:t>Studijų ir mokymosi visą gyvenimą sritis</w:t>
            </w:r>
            <w:r w:rsidRPr="00AC2A30">
              <w:rPr>
                <w:rFonts w:ascii="Times New Roman" w:eastAsia="Times New Roman" w:hAnsi="Times New Roman" w:cs="Times New Roman"/>
                <w:color w:val="000000"/>
                <w:sz w:val="24"/>
                <w:szCs w:val="24"/>
                <w:lang w:eastAsia="lt-LT"/>
              </w:rPr>
              <w:t> </w:t>
            </w:r>
          </w:p>
        </w:tc>
      </w:tr>
      <w:tr w:rsidR="001B5EF9" w:rsidRPr="00AC2A30" w14:paraId="05AC81BB" w14:textId="77777777" w:rsidTr="00966FC0">
        <w:trPr>
          <w:trHeight w:val="300"/>
        </w:trPr>
        <w:tc>
          <w:tcPr>
            <w:tcW w:w="948" w:type="dxa"/>
            <w:vMerge w:val="restart"/>
            <w:shd w:val="clear" w:color="auto" w:fill="auto"/>
            <w:vAlign w:val="center"/>
            <w:hideMark/>
          </w:tcPr>
          <w:p w14:paraId="3CB6F547" w14:textId="3929A925" w:rsidR="001B5EF9" w:rsidRPr="00AC2A30" w:rsidRDefault="007F41BB">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2</w:t>
            </w:r>
            <w:r w:rsidR="001B5EF9" w:rsidRPr="00AC2A30">
              <w:rPr>
                <w:rFonts w:ascii="Times New Roman" w:eastAsia="Times New Roman" w:hAnsi="Times New Roman" w:cs="Times New Roman"/>
                <w:b/>
                <w:bCs/>
                <w:color w:val="000000"/>
                <w:sz w:val="24"/>
                <w:szCs w:val="24"/>
                <w:lang w:eastAsia="lt-LT"/>
              </w:rPr>
              <w:t>.1</w:t>
            </w:r>
          </w:p>
        </w:tc>
        <w:tc>
          <w:tcPr>
            <w:tcW w:w="4818" w:type="dxa"/>
            <w:vMerge w:val="restart"/>
            <w:shd w:val="clear" w:color="auto" w:fill="auto"/>
            <w:vAlign w:val="center"/>
            <w:hideMark/>
          </w:tcPr>
          <w:p w14:paraId="51EC830D" w14:textId="2F945860"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Toliau kurti ir plėsti į studentą orientuotą dėstymą ir mokymąsi, kurį labai vertina studentai. Tai vykdyti remiantis kolegų tarpusavio stebėjimo sistema, probleminio mokymo programa arba taikomaisiais tyrimais.</w:t>
            </w:r>
          </w:p>
        </w:tc>
        <w:tc>
          <w:tcPr>
            <w:tcW w:w="4901" w:type="dxa"/>
            <w:vMerge w:val="restart"/>
            <w:shd w:val="clear" w:color="auto" w:fill="auto"/>
            <w:vAlign w:val="center"/>
            <w:hideMark/>
          </w:tcPr>
          <w:p w14:paraId="796C76E4" w14:textId="1DB8440E"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Parengti tarpdisciplininius projektus, paremtus probleminio mokymo</w:t>
            </w:r>
            <w:r w:rsidR="007F41BB">
              <w:rPr>
                <w:rFonts w:ascii="Times New Roman" w:eastAsia="Times New Roman" w:hAnsi="Times New Roman" w:cs="Times New Roman"/>
                <w:color w:val="000000"/>
                <w:sz w:val="24"/>
                <w:szCs w:val="24"/>
                <w:lang w:eastAsia="lt-LT"/>
              </w:rPr>
              <w:t xml:space="preserve"> </w:t>
            </w:r>
            <w:r w:rsidRPr="00AC2A30">
              <w:rPr>
                <w:rFonts w:ascii="Times New Roman" w:eastAsia="Times New Roman" w:hAnsi="Times New Roman" w:cs="Times New Roman"/>
                <w:color w:val="000000"/>
                <w:sz w:val="24"/>
                <w:szCs w:val="24"/>
                <w:lang w:eastAsia="lt-LT"/>
              </w:rPr>
              <w:t>(-</w:t>
            </w:r>
            <w:proofErr w:type="spellStart"/>
            <w:r w:rsidRPr="00AC2A30">
              <w:rPr>
                <w:rFonts w:ascii="Times New Roman" w:eastAsia="Times New Roman" w:hAnsi="Times New Roman" w:cs="Times New Roman"/>
                <w:color w:val="000000"/>
                <w:sz w:val="24"/>
                <w:szCs w:val="24"/>
                <w:lang w:eastAsia="lt-LT"/>
              </w:rPr>
              <w:t>si</w:t>
            </w:r>
            <w:proofErr w:type="spellEnd"/>
            <w:r w:rsidRPr="00AC2A30">
              <w:rPr>
                <w:rFonts w:ascii="Times New Roman" w:eastAsia="Times New Roman" w:hAnsi="Times New Roman" w:cs="Times New Roman"/>
                <w:color w:val="000000"/>
                <w:sz w:val="24"/>
                <w:szCs w:val="24"/>
                <w:lang w:eastAsia="lt-LT"/>
              </w:rPr>
              <w:t xml:space="preserve">) ir </w:t>
            </w:r>
            <w:proofErr w:type="spellStart"/>
            <w:r w:rsidRPr="00BA41A2">
              <w:rPr>
                <w:rFonts w:ascii="Times New Roman" w:eastAsia="Times New Roman" w:hAnsi="Times New Roman" w:cs="Times New Roman"/>
                <w:i/>
                <w:color w:val="000000"/>
                <w:sz w:val="24"/>
                <w:szCs w:val="24"/>
                <w:lang w:eastAsia="lt-LT"/>
              </w:rPr>
              <w:t>design</w:t>
            </w:r>
            <w:proofErr w:type="spellEnd"/>
            <w:r w:rsidRPr="00BA41A2">
              <w:rPr>
                <w:rFonts w:ascii="Times New Roman" w:eastAsia="Times New Roman" w:hAnsi="Times New Roman" w:cs="Times New Roman"/>
                <w:i/>
                <w:color w:val="000000"/>
                <w:sz w:val="24"/>
                <w:szCs w:val="24"/>
                <w:lang w:eastAsia="lt-LT"/>
              </w:rPr>
              <w:t xml:space="preserve"> </w:t>
            </w:r>
            <w:proofErr w:type="spellStart"/>
            <w:r w:rsidRPr="00BA41A2">
              <w:rPr>
                <w:rFonts w:ascii="Times New Roman" w:eastAsia="Times New Roman" w:hAnsi="Times New Roman" w:cs="Times New Roman"/>
                <w:i/>
                <w:color w:val="000000"/>
                <w:sz w:val="24"/>
                <w:szCs w:val="24"/>
                <w:lang w:eastAsia="lt-LT"/>
              </w:rPr>
              <w:t>thinking</w:t>
            </w:r>
            <w:proofErr w:type="spellEnd"/>
            <w:r w:rsidRPr="00AC2A30">
              <w:rPr>
                <w:rFonts w:ascii="Times New Roman" w:eastAsia="Times New Roman" w:hAnsi="Times New Roman" w:cs="Times New Roman"/>
                <w:color w:val="000000"/>
                <w:sz w:val="24"/>
                <w:szCs w:val="24"/>
                <w:lang w:eastAsia="lt-LT"/>
              </w:rPr>
              <w:t xml:space="preserve"> metodikomis.</w:t>
            </w:r>
          </w:p>
        </w:tc>
        <w:tc>
          <w:tcPr>
            <w:tcW w:w="2217" w:type="dxa"/>
            <w:shd w:val="clear" w:color="auto" w:fill="auto"/>
            <w:vAlign w:val="center"/>
            <w:hideMark/>
          </w:tcPr>
          <w:p w14:paraId="5119FB9E" w14:textId="0E4AD154"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Studijų prorektor</w:t>
            </w:r>
            <w:r w:rsidR="007F41BB">
              <w:rPr>
                <w:rFonts w:ascii="Times New Roman" w:eastAsia="Times New Roman" w:hAnsi="Times New Roman" w:cs="Times New Roman"/>
                <w:color w:val="000000"/>
                <w:sz w:val="24"/>
                <w:szCs w:val="24"/>
                <w:lang w:eastAsia="lt-LT"/>
              </w:rPr>
              <w:t>ius</w:t>
            </w:r>
          </w:p>
        </w:tc>
        <w:tc>
          <w:tcPr>
            <w:tcW w:w="1176" w:type="dxa"/>
            <w:vMerge w:val="restart"/>
            <w:shd w:val="clear" w:color="auto" w:fill="auto"/>
            <w:vAlign w:val="center"/>
            <w:hideMark/>
          </w:tcPr>
          <w:p w14:paraId="6CD6C0BA" w14:textId="674D31AB"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09</w:t>
            </w:r>
          </w:p>
        </w:tc>
      </w:tr>
      <w:tr w:rsidR="001B5EF9" w:rsidRPr="00AC2A30" w14:paraId="0AA90A76" w14:textId="77777777" w:rsidTr="00966FC0">
        <w:trPr>
          <w:trHeight w:val="300"/>
        </w:trPr>
        <w:tc>
          <w:tcPr>
            <w:tcW w:w="948" w:type="dxa"/>
            <w:vMerge/>
            <w:vAlign w:val="center"/>
            <w:hideMark/>
          </w:tcPr>
          <w:p w14:paraId="45F9949C" w14:textId="77777777" w:rsidR="001B5EF9" w:rsidRPr="00AC2A30" w:rsidRDefault="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12C70EEC"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79943CF0"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46F2AEC9"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roofErr w:type="spellStart"/>
            <w:r w:rsidRPr="00AC2A30">
              <w:rPr>
                <w:rFonts w:ascii="Times New Roman" w:eastAsia="Times New Roman" w:hAnsi="Times New Roman" w:cs="Times New Roman"/>
                <w:color w:val="000000"/>
                <w:sz w:val="24"/>
                <w:szCs w:val="24"/>
                <w:lang w:eastAsia="lt-LT"/>
              </w:rPr>
              <w:t>EDU_Lab</w:t>
            </w:r>
            <w:proofErr w:type="spellEnd"/>
          </w:p>
        </w:tc>
        <w:tc>
          <w:tcPr>
            <w:tcW w:w="1176" w:type="dxa"/>
            <w:vMerge/>
            <w:vAlign w:val="center"/>
            <w:hideMark/>
          </w:tcPr>
          <w:p w14:paraId="67282890"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r>
      <w:tr w:rsidR="001B5EF9" w:rsidRPr="00AC2A30" w14:paraId="3F8D2BEA" w14:textId="77777777" w:rsidTr="00966FC0">
        <w:trPr>
          <w:trHeight w:val="315"/>
        </w:trPr>
        <w:tc>
          <w:tcPr>
            <w:tcW w:w="948" w:type="dxa"/>
            <w:vMerge/>
            <w:vAlign w:val="center"/>
            <w:hideMark/>
          </w:tcPr>
          <w:p w14:paraId="120304CC" w14:textId="77777777" w:rsidR="001B5EF9" w:rsidRPr="00AC2A30" w:rsidRDefault="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18DBB4DE"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3FB66950"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53F2F289"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Fakultetai</w:t>
            </w:r>
          </w:p>
        </w:tc>
        <w:tc>
          <w:tcPr>
            <w:tcW w:w="1176" w:type="dxa"/>
            <w:vMerge/>
            <w:vAlign w:val="center"/>
            <w:hideMark/>
          </w:tcPr>
          <w:p w14:paraId="2A4F4EC2"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r>
      <w:tr w:rsidR="001B5EF9" w:rsidRPr="00AC2A30" w14:paraId="6558E3F9" w14:textId="77777777" w:rsidTr="00966FC0">
        <w:trPr>
          <w:trHeight w:val="300"/>
        </w:trPr>
        <w:tc>
          <w:tcPr>
            <w:tcW w:w="948" w:type="dxa"/>
            <w:vMerge/>
            <w:vAlign w:val="center"/>
            <w:hideMark/>
          </w:tcPr>
          <w:p w14:paraId="25DA75C5" w14:textId="77777777" w:rsidR="001B5EF9" w:rsidRPr="00AC2A30" w:rsidRDefault="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48E4BE2A"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4901" w:type="dxa"/>
            <w:vMerge w:val="restart"/>
            <w:shd w:val="clear" w:color="auto" w:fill="auto"/>
            <w:vAlign w:val="center"/>
            <w:hideMark/>
          </w:tcPr>
          <w:p w14:paraId="0A60228F" w14:textId="01358710"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 xml:space="preserve">Sukurti kolegų tarpusavio paramos ir stebėjimo sistemą. </w:t>
            </w:r>
          </w:p>
        </w:tc>
        <w:tc>
          <w:tcPr>
            <w:tcW w:w="2217" w:type="dxa"/>
            <w:shd w:val="clear" w:color="auto" w:fill="auto"/>
            <w:vAlign w:val="center"/>
            <w:hideMark/>
          </w:tcPr>
          <w:p w14:paraId="251A7E80" w14:textId="17776921"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Studijų prorektor</w:t>
            </w:r>
            <w:r w:rsidR="007F41BB">
              <w:rPr>
                <w:rFonts w:ascii="Times New Roman" w:eastAsia="Times New Roman" w:hAnsi="Times New Roman" w:cs="Times New Roman"/>
                <w:color w:val="000000"/>
                <w:sz w:val="24"/>
                <w:szCs w:val="24"/>
                <w:lang w:eastAsia="lt-LT"/>
              </w:rPr>
              <w:t>ius</w:t>
            </w:r>
          </w:p>
        </w:tc>
        <w:tc>
          <w:tcPr>
            <w:tcW w:w="1176" w:type="dxa"/>
            <w:vMerge w:val="restart"/>
            <w:shd w:val="clear" w:color="auto" w:fill="auto"/>
            <w:vAlign w:val="center"/>
            <w:hideMark/>
          </w:tcPr>
          <w:p w14:paraId="0473B0F9" w14:textId="003E5E55"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09</w:t>
            </w:r>
          </w:p>
        </w:tc>
      </w:tr>
      <w:tr w:rsidR="001B5EF9" w:rsidRPr="00AC2A30" w14:paraId="0CE29395" w14:textId="77777777" w:rsidTr="00966FC0">
        <w:trPr>
          <w:trHeight w:val="315"/>
        </w:trPr>
        <w:tc>
          <w:tcPr>
            <w:tcW w:w="948" w:type="dxa"/>
            <w:vMerge/>
            <w:vAlign w:val="center"/>
            <w:hideMark/>
          </w:tcPr>
          <w:p w14:paraId="1E2EA50B" w14:textId="77777777" w:rsidR="001B5EF9" w:rsidRPr="00AC2A30" w:rsidRDefault="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7E7E6BD0"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52FAFC14"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01A56C4D"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roofErr w:type="spellStart"/>
            <w:r w:rsidRPr="00AC2A30">
              <w:rPr>
                <w:rFonts w:ascii="Times New Roman" w:eastAsia="Times New Roman" w:hAnsi="Times New Roman" w:cs="Times New Roman"/>
                <w:color w:val="000000"/>
                <w:sz w:val="24"/>
                <w:szCs w:val="24"/>
                <w:lang w:eastAsia="lt-LT"/>
              </w:rPr>
              <w:t>EDU_Lab</w:t>
            </w:r>
            <w:proofErr w:type="spellEnd"/>
          </w:p>
        </w:tc>
        <w:tc>
          <w:tcPr>
            <w:tcW w:w="1176" w:type="dxa"/>
            <w:vMerge/>
            <w:vAlign w:val="center"/>
            <w:hideMark/>
          </w:tcPr>
          <w:p w14:paraId="42388211"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r>
      <w:tr w:rsidR="001B5EF9" w:rsidRPr="00AC2A30" w14:paraId="57BB0B6C" w14:textId="77777777" w:rsidTr="00966FC0">
        <w:trPr>
          <w:trHeight w:val="300"/>
        </w:trPr>
        <w:tc>
          <w:tcPr>
            <w:tcW w:w="948" w:type="dxa"/>
            <w:vMerge/>
            <w:vAlign w:val="center"/>
            <w:hideMark/>
          </w:tcPr>
          <w:p w14:paraId="6B446C0E" w14:textId="77777777" w:rsidR="001B5EF9" w:rsidRPr="00AC2A30" w:rsidRDefault="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3AF24661"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4901" w:type="dxa"/>
            <w:vMerge w:val="restart"/>
            <w:shd w:val="clear" w:color="auto" w:fill="auto"/>
            <w:vAlign w:val="center"/>
            <w:hideMark/>
          </w:tcPr>
          <w:p w14:paraId="7B82C34A" w14:textId="18952FE4"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 xml:space="preserve">Organizuoti renginius dėstytojams (mokymai, </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dėstytojų kavinė</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 xml:space="preserve">), kuriais bus siekiama įgalinti juos naudoti į studentą orientuotą dėstymą bei pasidalinti patirtimi. </w:t>
            </w:r>
          </w:p>
        </w:tc>
        <w:tc>
          <w:tcPr>
            <w:tcW w:w="2217" w:type="dxa"/>
            <w:shd w:val="clear" w:color="auto" w:fill="auto"/>
            <w:vAlign w:val="center"/>
            <w:hideMark/>
          </w:tcPr>
          <w:p w14:paraId="628AD5BB" w14:textId="2E5AF14E"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Studijų prorektor</w:t>
            </w:r>
            <w:r w:rsidR="007F41BB">
              <w:rPr>
                <w:rFonts w:ascii="Times New Roman" w:eastAsia="Times New Roman" w:hAnsi="Times New Roman" w:cs="Times New Roman"/>
                <w:color w:val="000000"/>
                <w:sz w:val="24"/>
                <w:szCs w:val="24"/>
                <w:lang w:eastAsia="lt-LT"/>
              </w:rPr>
              <w:t>ius</w:t>
            </w:r>
          </w:p>
        </w:tc>
        <w:tc>
          <w:tcPr>
            <w:tcW w:w="1176" w:type="dxa"/>
            <w:vMerge w:val="restart"/>
            <w:shd w:val="clear" w:color="auto" w:fill="auto"/>
            <w:vAlign w:val="center"/>
            <w:hideMark/>
          </w:tcPr>
          <w:p w14:paraId="03365DD9" w14:textId="71E80F01" w:rsidR="001B5EF9" w:rsidRPr="00AC2A30" w:rsidRDefault="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09</w:t>
            </w:r>
          </w:p>
        </w:tc>
      </w:tr>
      <w:tr w:rsidR="001B5EF9" w:rsidRPr="00AC2A30" w14:paraId="0791C807" w14:textId="77777777" w:rsidTr="00966FC0">
        <w:trPr>
          <w:trHeight w:val="315"/>
        </w:trPr>
        <w:tc>
          <w:tcPr>
            <w:tcW w:w="948" w:type="dxa"/>
            <w:vMerge/>
            <w:vAlign w:val="center"/>
            <w:hideMark/>
          </w:tcPr>
          <w:p w14:paraId="3DB213EA" w14:textId="77777777" w:rsidR="001B5EF9" w:rsidRPr="00AC2A30" w:rsidRDefault="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73B2D524"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2EA7BDD1"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7429B897"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roofErr w:type="spellStart"/>
            <w:r w:rsidRPr="00AC2A30">
              <w:rPr>
                <w:rFonts w:ascii="Times New Roman" w:eastAsia="Times New Roman" w:hAnsi="Times New Roman" w:cs="Times New Roman"/>
                <w:color w:val="000000"/>
                <w:sz w:val="24"/>
                <w:szCs w:val="24"/>
                <w:lang w:eastAsia="lt-LT"/>
              </w:rPr>
              <w:t>EDU_Lab</w:t>
            </w:r>
            <w:proofErr w:type="spellEnd"/>
          </w:p>
        </w:tc>
        <w:tc>
          <w:tcPr>
            <w:tcW w:w="1176" w:type="dxa"/>
            <w:vMerge/>
            <w:vAlign w:val="center"/>
            <w:hideMark/>
          </w:tcPr>
          <w:p w14:paraId="7F9B657F" w14:textId="77777777" w:rsidR="001B5EF9" w:rsidRPr="00AC2A30" w:rsidRDefault="001B5EF9">
            <w:pPr>
              <w:spacing w:after="0" w:line="240" w:lineRule="auto"/>
              <w:rPr>
                <w:rFonts w:ascii="Times New Roman" w:eastAsia="Times New Roman" w:hAnsi="Times New Roman" w:cs="Times New Roman"/>
                <w:color w:val="000000"/>
                <w:sz w:val="24"/>
                <w:szCs w:val="24"/>
                <w:lang w:eastAsia="lt-LT"/>
              </w:rPr>
            </w:pPr>
          </w:p>
        </w:tc>
      </w:tr>
    </w:tbl>
    <w:tbl>
      <w:tblPr>
        <w:tblW w:w="140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8"/>
        <w:gridCol w:w="4818"/>
        <w:gridCol w:w="4901"/>
        <w:gridCol w:w="2217"/>
        <w:gridCol w:w="1176"/>
      </w:tblGrid>
      <w:tr w:rsidR="001B5EF9" w:rsidRPr="00AC2A30" w14:paraId="78B9D353" w14:textId="77777777" w:rsidTr="00966FC0">
        <w:trPr>
          <w:trHeight w:val="974"/>
        </w:trPr>
        <w:tc>
          <w:tcPr>
            <w:tcW w:w="948" w:type="dxa"/>
            <w:vMerge w:val="restart"/>
            <w:shd w:val="clear" w:color="auto" w:fill="auto"/>
            <w:vAlign w:val="center"/>
            <w:hideMark/>
          </w:tcPr>
          <w:p w14:paraId="7EB37700" w14:textId="5A54B0E8" w:rsidR="001B5EF9" w:rsidRPr="00AC2A30" w:rsidRDefault="007F41BB" w:rsidP="001B5EF9">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2</w:t>
            </w:r>
            <w:r w:rsidR="001B5EF9" w:rsidRPr="00AC2A30">
              <w:rPr>
                <w:rFonts w:ascii="Times New Roman" w:eastAsia="Times New Roman" w:hAnsi="Times New Roman" w:cs="Times New Roman"/>
                <w:b/>
                <w:bCs/>
                <w:color w:val="000000"/>
                <w:sz w:val="24"/>
                <w:szCs w:val="24"/>
                <w:lang w:eastAsia="lt-LT"/>
              </w:rPr>
              <w:t>.2</w:t>
            </w:r>
          </w:p>
        </w:tc>
        <w:tc>
          <w:tcPr>
            <w:tcW w:w="4818" w:type="dxa"/>
            <w:vMerge w:val="restart"/>
            <w:shd w:val="clear" w:color="auto" w:fill="auto"/>
            <w:vAlign w:val="center"/>
            <w:hideMark/>
          </w:tcPr>
          <w:p w14:paraId="45E93FA0"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 xml:space="preserve">Peržiūrėti  valdymo ir kokybės gerinimo būdus, siekiant užtikrinti sisteminį požiūrį į gerosios ir silpnosios praktikos sklaidą tam, kad būtų </w:t>
            </w:r>
            <w:r w:rsidRPr="00AC2A30">
              <w:rPr>
                <w:rFonts w:ascii="Times New Roman" w:eastAsia="Times New Roman" w:hAnsi="Times New Roman" w:cs="Times New Roman"/>
                <w:color w:val="000000"/>
                <w:sz w:val="24"/>
                <w:szCs w:val="24"/>
                <w:lang w:eastAsia="lt-LT"/>
              </w:rPr>
              <w:lastRenderedPageBreak/>
              <w:t>sumažinta veiklos įvairovė skirtinguose fakultetuose.</w:t>
            </w:r>
          </w:p>
        </w:tc>
        <w:tc>
          <w:tcPr>
            <w:tcW w:w="4901" w:type="dxa"/>
            <w:shd w:val="clear" w:color="auto" w:fill="auto"/>
            <w:vAlign w:val="center"/>
            <w:hideMark/>
          </w:tcPr>
          <w:p w14:paraId="203AA416" w14:textId="78CBF610" w:rsidR="001B5EF9" w:rsidRPr="00AC2A30" w:rsidRDefault="001B5EF9" w:rsidP="00BA41A2">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lastRenderedPageBreak/>
              <w:t xml:space="preserve">Organizuoti </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Kokybės dienas</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 xml:space="preserve"> Universiteto bendruomenei studijų, mokslo, neformalaus </w:t>
            </w:r>
            <w:r w:rsidRPr="00AC2A30">
              <w:rPr>
                <w:rFonts w:ascii="Times New Roman" w:eastAsia="Times New Roman" w:hAnsi="Times New Roman" w:cs="Times New Roman"/>
                <w:color w:val="000000"/>
                <w:sz w:val="24"/>
                <w:szCs w:val="24"/>
                <w:lang w:eastAsia="lt-LT"/>
              </w:rPr>
              <w:lastRenderedPageBreak/>
              <w:t>ugdymo, valdymo ir kt. srityse, stiprinant gerosios praktikos sklaidą</w:t>
            </w:r>
            <w:r w:rsidR="007F41BB">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04B593FF"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lastRenderedPageBreak/>
              <w:t xml:space="preserve">Strateginio planavimo ir </w:t>
            </w:r>
            <w:r w:rsidRPr="00AC2A30">
              <w:rPr>
                <w:rFonts w:ascii="Times New Roman" w:eastAsia="Times New Roman" w:hAnsi="Times New Roman" w:cs="Times New Roman"/>
                <w:color w:val="000000"/>
                <w:sz w:val="24"/>
                <w:szCs w:val="24"/>
                <w:lang w:eastAsia="lt-LT"/>
              </w:rPr>
              <w:lastRenderedPageBreak/>
              <w:t>kokybės departamentas</w:t>
            </w:r>
          </w:p>
        </w:tc>
        <w:tc>
          <w:tcPr>
            <w:tcW w:w="1176" w:type="dxa"/>
            <w:shd w:val="clear" w:color="auto" w:fill="auto"/>
            <w:vAlign w:val="center"/>
            <w:hideMark/>
          </w:tcPr>
          <w:p w14:paraId="44FB535C" w14:textId="43ABB208"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lastRenderedPageBreak/>
              <w:t>2016</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09</w:t>
            </w:r>
          </w:p>
        </w:tc>
      </w:tr>
      <w:tr w:rsidR="001B5EF9" w:rsidRPr="00AC2A30" w14:paraId="168CE2DA" w14:textId="77777777" w:rsidTr="00966FC0">
        <w:trPr>
          <w:trHeight w:val="300"/>
        </w:trPr>
        <w:tc>
          <w:tcPr>
            <w:tcW w:w="948" w:type="dxa"/>
            <w:vMerge/>
            <w:vAlign w:val="center"/>
            <w:hideMark/>
          </w:tcPr>
          <w:p w14:paraId="0BED0E5E" w14:textId="77777777" w:rsidR="001B5EF9" w:rsidRPr="00AC2A30" w:rsidRDefault="001B5EF9" w:rsidP="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204CDF54"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4901" w:type="dxa"/>
            <w:vMerge w:val="restart"/>
            <w:shd w:val="clear" w:color="auto" w:fill="auto"/>
            <w:vAlign w:val="center"/>
            <w:hideMark/>
          </w:tcPr>
          <w:p w14:paraId="40204F51" w14:textId="4B9B1C0E" w:rsidR="001B5EF9" w:rsidRPr="00AC2A30" w:rsidRDefault="001B5EF9" w:rsidP="00BA41A2">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Peržiūrėti Universiteto organizacinę struktūrą ir procesus bei pateikti siūlymą, siekiant stiprinti studijų kokybės stebėseną ir konsultavimą</w:t>
            </w:r>
            <w:r w:rsidR="007F41BB">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328F99F0" w14:textId="2CD9BE3D" w:rsidR="001B5EF9" w:rsidRPr="00AC2A30" w:rsidRDefault="0053436E" w:rsidP="001B5EF9">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Studijų prorektor</w:t>
            </w:r>
            <w:r w:rsidR="007F41BB">
              <w:rPr>
                <w:rFonts w:ascii="Times New Roman" w:eastAsia="Times New Roman" w:hAnsi="Times New Roman" w:cs="Times New Roman"/>
                <w:color w:val="000000"/>
                <w:sz w:val="24"/>
                <w:szCs w:val="24"/>
                <w:lang w:eastAsia="lt-LT"/>
              </w:rPr>
              <w:t>ius</w:t>
            </w:r>
          </w:p>
        </w:tc>
        <w:tc>
          <w:tcPr>
            <w:tcW w:w="1176" w:type="dxa"/>
            <w:vMerge w:val="restart"/>
            <w:shd w:val="clear" w:color="auto" w:fill="auto"/>
            <w:vAlign w:val="center"/>
            <w:hideMark/>
          </w:tcPr>
          <w:p w14:paraId="4A1158EA" w14:textId="38640220"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2015</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12</w:t>
            </w:r>
          </w:p>
        </w:tc>
      </w:tr>
      <w:tr w:rsidR="001B5EF9" w:rsidRPr="00AC2A30" w14:paraId="1EA55F4F" w14:textId="77777777" w:rsidTr="00966FC0">
        <w:trPr>
          <w:trHeight w:val="315"/>
        </w:trPr>
        <w:tc>
          <w:tcPr>
            <w:tcW w:w="948" w:type="dxa"/>
            <w:vMerge/>
            <w:vAlign w:val="center"/>
            <w:hideMark/>
          </w:tcPr>
          <w:p w14:paraId="35E77081" w14:textId="77777777" w:rsidR="001B5EF9" w:rsidRPr="00AC2A30" w:rsidRDefault="001B5EF9" w:rsidP="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0AD3DE42"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7D0231D6"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583ED0DB"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Vykdomasis direktorius</w:t>
            </w:r>
          </w:p>
        </w:tc>
        <w:tc>
          <w:tcPr>
            <w:tcW w:w="1176" w:type="dxa"/>
            <w:vMerge/>
            <w:vAlign w:val="center"/>
            <w:hideMark/>
          </w:tcPr>
          <w:p w14:paraId="7CDF53F9"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r>
      <w:tr w:rsidR="0053436E" w:rsidRPr="00AC2A30" w14:paraId="76973426" w14:textId="77777777" w:rsidTr="00966FC0">
        <w:trPr>
          <w:trHeight w:val="315"/>
        </w:trPr>
        <w:tc>
          <w:tcPr>
            <w:tcW w:w="948" w:type="dxa"/>
            <w:shd w:val="clear" w:color="auto" w:fill="auto"/>
            <w:vAlign w:val="center"/>
            <w:hideMark/>
          </w:tcPr>
          <w:p w14:paraId="49462A3F" w14:textId="6FB268E7" w:rsidR="0053436E" w:rsidRPr="00AC2A30" w:rsidRDefault="007F41BB" w:rsidP="001B5EF9">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3</w:t>
            </w:r>
          </w:p>
        </w:tc>
        <w:tc>
          <w:tcPr>
            <w:tcW w:w="13112" w:type="dxa"/>
            <w:gridSpan w:val="4"/>
            <w:shd w:val="clear" w:color="auto" w:fill="auto"/>
            <w:vAlign w:val="center"/>
            <w:hideMark/>
          </w:tcPr>
          <w:p w14:paraId="6DDA9BC8" w14:textId="03F49D2C" w:rsidR="0053436E" w:rsidRPr="00AC2A30" w:rsidRDefault="0053436E" w:rsidP="0053436E">
            <w:pPr>
              <w:spacing w:after="0" w:line="240" w:lineRule="auto"/>
              <w:jc w:val="center"/>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Mokslo ir meno veiklos sritis </w:t>
            </w:r>
          </w:p>
        </w:tc>
      </w:tr>
      <w:tr w:rsidR="001B5EF9" w:rsidRPr="00AC2A30" w14:paraId="649A1B6C" w14:textId="77777777" w:rsidTr="00966FC0">
        <w:trPr>
          <w:trHeight w:val="300"/>
        </w:trPr>
        <w:tc>
          <w:tcPr>
            <w:tcW w:w="948" w:type="dxa"/>
            <w:vMerge w:val="restart"/>
            <w:shd w:val="clear" w:color="auto" w:fill="auto"/>
            <w:vAlign w:val="center"/>
            <w:hideMark/>
          </w:tcPr>
          <w:p w14:paraId="21B8969C" w14:textId="0CCD7A89" w:rsidR="001B5EF9" w:rsidRPr="00AC2A30" w:rsidRDefault="007F41BB" w:rsidP="001B5EF9">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3</w:t>
            </w:r>
            <w:r w:rsidR="001B5EF9" w:rsidRPr="00AC2A30">
              <w:rPr>
                <w:rFonts w:ascii="Times New Roman" w:eastAsia="Times New Roman" w:hAnsi="Times New Roman" w:cs="Times New Roman"/>
                <w:b/>
                <w:bCs/>
                <w:color w:val="000000"/>
                <w:sz w:val="24"/>
                <w:szCs w:val="24"/>
                <w:lang w:eastAsia="lt-LT"/>
              </w:rPr>
              <w:t>.1</w:t>
            </w:r>
          </w:p>
        </w:tc>
        <w:tc>
          <w:tcPr>
            <w:tcW w:w="4818" w:type="dxa"/>
            <w:vMerge w:val="restart"/>
            <w:shd w:val="clear" w:color="auto" w:fill="auto"/>
            <w:vAlign w:val="center"/>
            <w:hideMark/>
          </w:tcPr>
          <w:p w14:paraId="41769B70" w14:textId="5B08E211"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Išnagrinėti būdą, kaip KTU siekia tapti pasaulinio lygio mokslinių tyrimų įstaiga, ir kaip šį siekį gali paremti ilgalaikis investavimo planas, kuriame būtų nustatyti realūs tikslai ir pagrindinių mokslinių tyrimų veiklos rodikliai, taip pat mokslinių tyrimų rezultatai.</w:t>
            </w:r>
          </w:p>
        </w:tc>
        <w:tc>
          <w:tcPr>
            <w:tcW w:w="4901" w:type="dxa"/>
            <w:shd w:val="clear" w:color="auto" w:fill="auto"/>
            <w:vAlign w:val="center"/>
            <w:hideMark/>
          </w:tcPr>
          <w:p w14:paraId="7E35FD70" w14:textId="6837E76F" w:rsidR="007A066D" w:rsidRPr="00AC2A30" w:rsidRDefault="001B5EF9" w:rsidP="007A066D">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Parengti ir patvirtinti padalinių MTEPI strategijas.</w:t>
            </w:r>
          </w:p>
        </w:tc>
        <w:tc>
          <w:tcPr>
            <w:tcW w:w="2217" w:type="dxa"/>
            <w:shd w:val="clear" w:color="auto" w:fill="auto"/>
            <w:vAlign w:val="center"/>
            <w:hideMark/>
          </w:tcPr>
          <w:p w14:paraId="7848A526" w14:textId="41E28A79"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Mokslo prorektor</w:t>
            </w:r>
            <w:r w:rsidR="007F41BB">
              <w:rPr>
                <w:rFonts w:ascii="Times New Roman" w:eastAsia="Times New Roman" w:hAnsi="Times New Roman" w:cs="Times New Roman"/>
                <w:color w:val="000000"/>
                <w:sz w:val="24"/>
                <w:szCs w:val="24"/>
                <w:lang w:eastAsia="lt-LT"/>
              </w:rPr>
              <w:t>ius</w:t>
            </w:r>
          </w:p>
        </w:tc>
        <w:tc>
          <w:tcPr>
            <w:tcW w:w="1176" w:type="dxa"/>
            <w:vMerge w:val="restart"/>
            <w:shd w:val="clear" w:color="auto" w:fill="auto"/>
            <w:vAlign w:val="center"/>
            <w:hideMark/>
          </w:tcPr>
          <w:p w14:paraId="15F49F90" w14:textId="2AE72058"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sidR="007F41BB">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01</w:t>
            </w:r>
          </w:p>
        </w:tc>
      </w:tr>
      <w:tr w:rsidR="007A066D" w:rsidRPr="00AC2A30" w14:paraId="7692D842" w14:textId="77777777" w:rsidTr="00966FC0">
        <w:trPr>
          <w:trHeight w:val="300"/>
        </w:trPr>
        <w:tc>
          <w:tcPr>
            <w:tcW w:w="948" w:type="dxa"/>
            <w:vMerge/>
            <w:vAlign w:val="center"/>
            <w:hideMark/>
          </w:tcPr>
          <w:p w14:paraId="071ADC59" w14:textId="77777777" w:rsidR="007A066D" w:rsidRPr="00AC2A30" w:rsidRDefault="007A066D" w:rsidP="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2C83FB34" w14:textId="77777777" w:rsidR="007A066D" w:rsidRPr="00AC2A30" w:rsidRDefault="007A066D" w:rsidP="001B5EF9">
            <w:pPr>
              <w:spacing w:after="0" w:line="240" w:lineRule="auto"/>
              <w:rPr>
                <w:rFonts w:ascii="Times New Roman" w:eastAsia="Times New Roman" w:hAnsi="Times New Roman" w:cs="Times New Roman"/>
                <w:color w:val="000000"/>
                <w:sz w:val="24"/>
                <w:szCs w:val="24"/>
                <w:lang w:eastAsia="lt-LT"/>
              </w:rPr>
            </w:pPr>
          </w:p>
        </w:tc>
        <w:tc>
          <w:tcPr>
            <w:tcW w:w="4901" w:type="dxa"/>
            <w:vMerge w:val="restart"/>
            <w:shd w:val="clear" w:color="auto" w:fill="auto"/>
            <w:vAlign w:val="center"/>
            <w:hideMark/>
          </w:tcPr>
          <w:p w14:paraId="5E48CE8F" w14:textId="68962CD1" w:rsidR="007A066D" w:rsidRPr="00AC2A30" w:rsidRDefault="007A066D" w:rsidP="007A066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Suplanuoti reikalingas investicijas padalinių strateginių tikslų įgyvendinimui</w:t>
            </w:r>
            <w:r w:rsidR="007F41BB">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2A292788" w14:textId="77777777" w:rsidR="007A066D" w:rsidRPr="00AC2A30" w:rsidRDefault="007A066D"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Mokslo departamentas</w:t>
            </w:r>
          </w:p>
        </w:tc>
        <w:tc>
          <w:tcPr>
            <w:tcW w:w="1176" w:type="dxa"/>
            <w:vMerge/>
            <w:vAlign w:val="center"/>
            <w:hideMark/>
          </w:tcPr>
          <w:p w14:paraId="07DE4F3F" w14:textId="77777777" w:rsidR="007A066D" w:rsidRPr="00AC2A30" w:rsidRDefault="007A066D" w:rsidP="001B5EF9">
            <w:pPr>
              <w:spacing w:after="0" w:line="240" w:lineRule="auto"/>
              <w:rPr>
                <w:rFonts w:ascii="Times New Roman" w:eastAsia="Times New Roman" w:hAnsi="Times New Roman" w:cs="Times New Roman"/>
                <w:color w:val="000000"/>
                <w:sz w:val="24"/>
                <w:szCs w:val="24"/>
                <w:lang w:eastAsia="lt-LT"/>
              </w:rPr>
            </w:pPr>
          </w:p>
        </w:tc>
      </w:tr>
      <w:tr w:rsidR="007A066D" w:rsidRPr="00AC2A30" w14:paraId="6770196B" w14:textId="77777777" w:rsidTr="00966FC0">
        <w:trPr>
          <w:trHeight w:val="525"/>
        </w:trPr>
        <w:tc>
          <w:tcPr>
            <w:tcW w:w="948" w:type="dxa"/>
            <w:vMerge/>
            <w:vAlign w:val="center"/>
            <w:hideMark/>
          </w:tcPr>
          <w:p w14:paraId="7A7F5AE7" w14:textId="77777777" w:rsidR="007A066D" w:rsidRPr="00AC2A30" w:rsidRDefault="007A066D" w:rsidP="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02CF44BC" w14:textId="77777777" w:rsidR="007A066D" w:rsidRPr="00AC2A30" w:rsidRDefault="007A066D" w:rsidP="001B5EF9">
            <w:pPr>
              <w:spacing w:after="0" w:line="240" w:lineRule="auto"/>
              <w:rPr>
                <w:rFonts w:ascii="Times New Roman" w:eastAsia="Times New Roman" w:hAnsi="Times New Roman" w:cs="Times New Roman"/>
                <w:color w:val="000000"/>
                <w:sz w:val="24"/>
                <w:szCs w:val="24"/>
                <w:lang w:eastAsia="lt-LT"/>
              </w:rPr>
            </w:pPr>
          </w:p>
        </w:tc>
        <w:tc>
          <w:tcPr>
            <w:tcW w:w="4901" w:type="dxa"/>
            <w:vMerge/>
            <w:shd w:val="clear" w:color="auto" w:fill="auto"/>
            <w:vAlign w:val="center"/>
            <w:hideMark/>
          </w:tcPr>
          <w:p w14:paraId="648C9AAA" w14:textId="77777777" w:rsidR="007A066D" w:rsidRPr="00AC2A30" w:rsidRDefault="007A066D" w:rsidP="001B5EF9">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011658B6" w14:textId="77777777" w:rsidR="007A066D" w:rsidRPr="00AC2A30" w:rsidRDefault="007A066D"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Fakultetai ir mokslo institutai</w:t>
            </w:r>
          </w:p>
        </w:tc>
        <w:tc>
          <w:tcPr>
            <w:tcW w:w="1176" w:type="dxa"/>
            <w:vMerge/>
            <w:vAlign w:val="center"/>
            <w:hideMark/>
          </w:tcPr>
          <w:p w14:paraId="5155E647" w14:textId="77777777" w:rsidR="007A066D" w:rsidRPr="00AC2A30" w:rsidRDefault="007A066D" w:rsidP="001B5EF9">
            <w:pPr>
              <w:spacing w:after="0" w:line="240" w:lineRule="auto"/>
              <w:rPr>
                <w:rFonts w:ascii="Times New Roman" w:eastAsia="Times New Roman" w:hAnsi="Times New Roman" w:cs="Times New Roman"/>
                <w:color w:val="000000"/>
                <w:sz w:val="24"/>
                <w:szCs w:val="24"/>
                <w:lang w:eastAsia="lt-LT"/>
              </w:rPr>
            </w:pPr>
          </w:p>
        </w:tc>
      </w:tr>
      <w:tr w:rsidR="001B5EF9" w:rsidRPr="00AC2A30" w14:paraId="2E69E42C" w14:textId="77777777" w:rsidTr="00966FC0">
        <w:trPr>
          <w:trHeight w:val="300"/>
        </w:trPr>
        <w:tc>
          <w:tcPr>
            <w:tcW w:w="948" w:type="dxa"/>
            <w:vMerge w:val="restart"/>
            <w:shd w:val="clear" w:color="auto" w:fill="auto"/>
            <w:vAlign w:val="center"/>
            <w:hideMark/>
          </w:tcPr>
          <w:p w14:paraId="528C0B31" w14:textId="7FD0A861" w:rsidR="001B5EF9" w:rsidRPr="00AC2A30" w:rsidRDefault="005C4E52" w:rsidP="001B5EF9">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3</w:t>
            </w:r>
            <w:r w:rsidR="001B5EF9" w:rsidRPr="00AC2A30">
              <w:rPr>
                <w:rFonts w:ascii="Times New Roman" w:eastAsia="Times New Roman" w:hAnsi="Times New Roman" w:cs="Times New Roman"/>
                <w:b/>
                <w:bCs/>
                <w:color w:val="000000"/>
                <w:sz w:val="24"/>
                <w:szCs w:val="24"/>
                <w:lang w:eastAsia="lt-LT"/>
              </w:rPr>
              <w:t>.2</w:t>
            </w:r>
          </w:p>
        </w:tc>
        <w:tc>
          <w:tcPr>
            <w:tcW w:w="4818" w:type="dxa"/>
            <w:vMerge w:val="restart"/>
            <w:shd w:val="clear" w:color="auto" w:fill="auto"/>
            <w:vAlign w:val="center"/>
            <w:hideMark/>
          </w:tcPr>
          <w:p w14:paraId="6196312A" w14:textId="7ED58029"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Ieškoti būdų, kaip didinti tarptautinių projektų, kuriuose KTU yra vadovaujančioji organizacija, skaičių.</w:t>
            </w:r>
          </w:p>
        </w:tc>
        <w:tc>
          <w:tcPr>
            <w:tcW w:w="4901" w:type="dxa"/>
            <w:vMerge w:val="restart"/>
            <w:shd w:val="clear" w:color="auto" w:fill="auto"/>
            <w:vAlign w:val="center"/>
            <w:hideMark/>
          </w:tcPr>
          <w:p w14:paraId="59E8F458" w14:textId="02D89E55" w:rsidR="001B5EF9" w:rsidRPr="00AC2A30" w:rsidRDefault="001B5EF9" w:rsidP="00BA41A2">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Numatyti papildomas investicijas konsultantų pritraukimui mokyti rašyti tarptautinių projektų paraiškas (2016</w:t>
            </w:r>
            <w:r w:rsidR="005C4E52">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2019</w:t>
            </w:r>
            <w:r w:rsidR="005C4E52">
              <w:rPr>
                <w:rFonts w:ascii="Times New Roman" w:eastAsia="Times New Roman" w:hAnsi="Times New Roman" w:cs="Times New Roman"/>
                <w:color w:val="000000"/>
                <w:sz w:val="24"/>
                <w:szCs w:val="24"/>
                <w:lang w:eastAsia="lt-LT"/>
              </w:rPr>
              <w:t xml:space="preserve"> m.</w:t>
            </w:r>
            <w:r w:rsidRPr="00AC2A30">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58F2B6DF" w14:textId="4B3ED78E"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Mokslo prorektor</w:t>
            </w:r>
            <w:r w:rsidR="005C4E52">
              <w:rPr>
                <w:rFonts w:ascii="Times New Roman" w:eastAsia="Times New Roman" w:hAnsi="Times New Roman" w:cs="Times New Roman"/>
                <w:color w:val="000000"/>
                <w:sz w:val="24"/>
                <w:szCs w:val="24"/>
                <w:lang w:eastAsia="lt-LT"/>
              </w:rPr>
              <w:t>ius</w:t>
            </w:r>
          </w:p>
        </w:tc>
        <w:tc>
          <w:tcPr>
            <w:tcW w:w="1176" w:type="dxa"/>
            <w:vMerge w:val="restart"/>
            <w:shd w:val="clear" w:color="auto" w:fill="auto"/>
            <w:vAlign w:val="center"/>
            <w:hideMark/>
          </w:tcPr>
          <w:p w14:paraId="725E8038" w14:textId="44E030AA"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2015</w:t>
            </w:r>
            <w:r w:rsidR="005C4E52">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12</w:t>
            </w:r>
          </w:p>
        </w:tc>
      </w:tr>
      <w:tr w:rsidR="001B5EF9" w:rsidRPr="00AC2A30" w14:paraId="33FCDF09" w14:textId="77777777" w:rsidTr="00966FC0">
        <w:trPr>
          <w:trHeight w:val="315"/>
        </w:trPr>
        <w:tc>
          <w:tcPr>
            <w:tcW w:w="948" w:type="dxa"/>
            <w:vMerge/>
            <w:vAlign w:val="center"/>
            <w:hideMark/>
          </w:tcPr>
          <w:p w14:paraId="2F634154" w14:textId="77777777" w:rsidR="001B5EF9" w:rsidRPr="00AC2A30" w:rsidRDefault="001B5EF9" w:rsidP="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0DCE0916"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343F551A"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2217" w:type="dxa"/>
            <w:shd w:val="clear" w:color="auto" w:fill="auto"/>
            <w:vAlign w:val="center"/>
            <w:hideMark/>
          </w:tcPr>
          <w:p w14:paraId="7CB0A48D"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Mokslo departamentas</w:t>
            </w:r>
          </w:p>
        </w:tc>
        <w:tc>
          <w:tcPr>
            <w:tcW w:w="1176" w:type="dxa"/>
            <w:vMerge/>
            <w:vAlign w:val="center"/>
            <w:hideMark/>
          </w:tcPr>
          <w:p w14:paraId="1FA5BAD2"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r>
      <w:tr w:rsidR="001B5EF9" w:rsidRPr="00AC2A30" w14:paraId="3B7A9F8C" w14:textId="77777777" w:rsidTr="00966FC0">
        <w:trPr>
          <w:trHeight w:val="315"/>
        </w:trPr>
        <w:tc>
          <w:tcPr>
            <w:tcW w:w="948" w:type="dxa"/>
            <w:shd w:val="clear" w:color="auto" w:fill="auto"/>
            <w:vAlign w:val="center"/>
            <w:hideMark/>
          </w:tcPr>
          <w:p w14:paraId="07052075" w14:textId="67B7BE93" w:rsidR="001B5EF9" w:rsidRPr="00AC2A30" w:rsidRDefault="005C4E52" w:rsidP="001B5EF9">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4</w:t>
            </w:r>
          </w:p>
        </w:tc>
        <w:tc>
          <w:tcPr>
            <w:tcW w:w="11936" w:type="dxa"/>
            <w:gridSpan w:val="3"/>
            <w:shd w:val="clear" w:color="auto" w:fill="auto"/>
            <w:vAlign w:val="center"/>
            <w:hideMark/>
          </w:tcPr>
          <w:p w14:paraId="6ABAE737" w14:textId="77777777" w:rsidR="001B5EF9" w:rsidRPr="00AC2A30" w:rsidRDefault="001B5EF9" w:rsidP="001B5EF9">
            <w:pPr>
              <w:spacing w:after="0" w:line="240" w:lineRule="auto"/>
              <w:jc w:val="center"/>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Poveikio regionų ir visos šalies veiklai sritis</w:t>
            </w:r>
          </w:p>
        </w:tc>
        <w:tc>
          <w:tcPr>
            <w:tcW w:w="1176" w:type="dxa"/>
            <w:shd w:val="clear" w:color="auto" w:fill="auto"/>
            <w:vAlign w:val="center"/>
            <w:hideMark/>
          </w:tcPr>
          <w:p w14:paraId="1F452A75" w14:textId="77777777" w:rsidR="001B5EF9" w:rsidRPr="00AC2A30" w:rsidRDefault="001B5EF9" w:rsidP="001B5EF9">
            <w:pPr>
              <w:spacing w:after="0" w:line="240" w:lineRule="auto"/>
              <w:jc w:val="center"/>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 </w:t>
            </w:r>
          </w:p>
        </w:tc>
      </w:tr>
      <w:tr w:rsidR="001B5EF9" w:rsidRPr="00AC2A30" w14:paraId="5CDC8AF4" w14:textId="77777777" w:rsidTr="00966FC0">
        <w:trPr>
          <w:trHeight w:val="1545"/>
        </w:trPr>
        <w:tc>
          <w:tcPr>
            <w:tcW w:w="948" w:type="dxa"/>
            <w:shd w:val="clear" w:color="auto" w:fill="auto"/>
            <w:vAlign w:val="center"/>
            <w:hideMark/>
          </w:tcPr>
          <w:p w14:paraId="6A479DEA" w14:textId="0F16FEEC" w:rsidR="001B5EF9" w:rsidRPr="00AC2A30" w:rsidRDefault="005C4E52" w:rsidP="001B5EF9">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4</w:t>
            </w:r>
            <w:r w:rsidR="001B5EF9" w:rsidRPr="00AC2A30">
              <w:rPr>
                <w:rFonts w:ascii="Times New Roman" w:eastAsia="Times New Roman" w:hAnsi="Times New Roman" w:cs="Times New Roman"/>
                <w:b/>
                <w:bCs/>
                <w:color w:val="000000"/>
                <w:sz w:val="24"/>
                <w:szCs w:val="24"/>
                <w:lang w:eastAsia="lt-LT"/>
              </w:rPr>
              <w:t>.1</w:t>
            </w:r>
          </w:p>
        </w:tc>
        <w:tc>
          <w:tcPr>
            <w:tcW w:w="4818" w:type="dxa"/>
            <w:shd w:val="clear" w:color="auto" w:fill="auto"/>
            <w:vAlign w:val="center"/>
            <w:hideMark/>
          </w:tcPr>
          <w:p w14:paraId="588214F7" w14:textId="5FA2AADD"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Nustatyti išmatuojamus tikslus ir veiklos rodiklius, kurie galėtų sustiprinti KTU poveikio regionų ir šalies raidai supratimą.</w:t>
            </w:r>
          </w:p>
        </w:tc>
        <w:tc>
          <w:tcPr>
            <w:tcW w:w="4901" w:type="dxa"/>
            <w:shd w:val="clear" w:color="auto" w:fill="auto"/>
            <w:vAlign w:val="center"/>
            <w:hideMark/>
          </w:tcPr>
          <w:p w14:paraId="116B2458" w14:textId="5F752D39" w:rsidR="001B5EF9" w:rsidRPr="00AC2A30" w:rsidRDefault="001B5EF9" w:rsidP="00BA41A2">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Parengti ir patvirtinti poveikio regionui ir šalies raidai stebėsenos rodiklius</w:t>
            </w:r>
            <w:r w:rsidR="005C4E52">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565E0AED" w14:textId="56407C15" w:rsidR="001B5EF9" w:rsidRPr="00AC2A30" w:rsidRDefault="005C4E52" w:rsidP="005C4E5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Tarptautinių ryšių ir plėtros</w:t>
            </w:r>
            <w:r w:rsidR="001B5EF9" w:rsidRPr="00AC2A30">
              <w:rPr>
                <w:rFonts w:ascii="Times New Roman" w:eastAsia="Times New Roman" w:hAnsi="Times New Roman" w:cs="Times New Roman"/>
                <w:color w:val="000000"/>
                <w:sz w:val="24"/>
                <w:szCs w:val="24"/>
                <w:lang w:eastAsia="lt-LT"/>
              </w:rPr>
              <w:t xml:space="preserve"> prorektorius</w:t>
            </w:r>
          </w:p>
        </w:tc>
        <w:tc>
          <w:tcPr>
            <w:tcW w:w="1176" w:type="dxa"/>
            <w:shd w:val="clear" w:color="auto" w:fill="auto"/>
            <w:vAlign w:val="center"/>
            <w:hideMark/>
          </w:tcPr>
          <w:p w14:paraId="70D60075" w14:textId="02E51CDB"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sidR="005C4E52">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01</w:t>
            </w:r>
          </w:p>
        </w:tc>
      </w:tr>
      <w:tr w:rsidR="001B5EF9" w:rsidRPr="00AC2A30" w14:paraId="5EA64ABD" w14:textId="77777777" w:rsidTr="00966FC0">
        <w:trPr>
          <w:trHeight w:val="315"/>
        </w:trPr>
        <w:tc>
          <w:tcPr>
            <w:tcW w:w="948" w:type="dxa"/>
            <w:shd w:val="clear" w:color="auto" w:fill="auto"/>
            <w:vAlign w:val="center"/>
            <w:hideMark/>
          </w:tcPr>
          <w:p w14:paraId="13CB95A0" w14:textId="671B0D8A" w:rsidR="001B5EF9" w:rsidRPr="00AC2A30" w:rsidRDefault="001B5EF9" w:rsidP="001B5EF9">
            <w:pPr>
              <w:spacing w:after="0" w:line="240" w:lineRule="auto"/>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 </w:t>
            </w:r>
            <w:r w:rsidR="005C4E52">
              <w:rPr>
                <w:rFonts w:ascii="Times New Roman" w:eastAsia="Times New Roman" w:hAnsi="Times New Roman" w:cs="Times New Roman"/>
                <w:b/>
                <w:bCs/>
                <w:color w:val="000000"/>
                <w:sz w:val="24"/>
                <w:szCs w:val="24"/>
                <w:lang w:eastAsia="lt-LT"/>
              </w:rPr>
              <w:t>5</w:t>
            </w:r>
          </w:p>
        </w:tc>
        <w:tc>
          <w:tcPr>
            <w:tcW w:w="11936" w:type="dxa"/>
            <w:gridSpan w:val="3"/>
            <w:shd w:val="clear" w:color="auto" w:fill="auto"/>
            <w:vAlign w:val="center"/>
            <w:hideMark/>
          </w:tcPr>
          <w:p w14:paraId="0437CC95" w14:textId="77777777" w:rsidR="001B5EF9" w:rsidRPr="00AC2A30" w:rsidRDefault="001B5EF9" w:rsidP="001B5EF9">
            <w:pPr>
              <w:spacing w:after="0" w:line="240" w:lineRule="auto"/>
              <w:jc w:val="center"/>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Kita</w:t>
            </w:r>
          </w:p>
        </w:tc>
        <w:tc>
          <w:tcPr>
            <w:tcW w:w="1176" w:type="dxa"/>
            <w:shd w:val="clear" w:color="auto" w:fill="auto"/>
            <w:vAlign w:val="center"/>
            <w:hideMark/>
          </w:tcPr>
          <w:p w14:paraId="6BB01F1B" w14:textId="77777777" w:rsidR="001B5EF9" w:rsidRPr="00AC2A30" w:rsidRDefault="001B5EF9" w:rsidP="001B5EF9">
            <w:pPr>
              <w:spacing w:after="0" w:line="240" w:lineRule="auto"/>
              <w:jc w:val="center"/>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 </w:t>
            </w:r>
          </w:p>
        </w:tc>
      </w:tr>
      <w:tr w:rsidR="001B5EF9" w:rsidRPr="00AC2A30" w14:paraId="23FFF80C" w14:textId="77777777" w:rsidTr="00966FC0">
        <w:trPr>
          <w:trHeight w:val="300"/>
        </w:trPr>
        <w:tc>
          <w:tcPr>
            <w:tcW w:w="948" w:type="dxa"/>
            <w:vMerge w:val="restart"/>
            <w:shd w:val="clear" w:color="auto" w:fill="auto"/>
            <w:vAlign w:val="center"/>
            <w:hideMark/>
          </w:tcPr>
          <w:p w14:paraId="2C8E1F49" w14:textId="13E3532F" w:rsidR="001B5EF9" w:rsidRPr="00AC2A30" w:rsidRDefault="001B5EF9" w:rsidP="001B5EF9">
            <w:pPr>
              <w:spacing w:after="0" w:line="240" w:lineRule="auto"/>
              <w:rPr>
                <w:rFonts w:ascii="Times New Roman" w:eastAsia="Times New Roman" w:hAnsi="Times New Roman" w:cs="Times New Roman"/>
                <w:b/>
                <w:bCs/>
                <w:color w:val="000000"/>
                <w:sz w:val="24"/>
                <w:szCs w:val="24"/>
                <w:lang w:eastAsia="lt-LT"/>
              </w:rPr>
            </w:pPr>
            <w:r w:rsidRPr="00AC2A30">
              <w:rPr>
                <w:rFonts w:ascii="Times New Roman" w:eastAsia="Times New Roman" w:hAnsi="Times New Roman" w:cs="Times New Roman"/>
                <w:b/>
                <w:bCs/>
                <w:color w:val="000000"/>
                <w:sz w:val="24"/>
                <w:szCs w:val="24"/>
                <w:lang w:eastAsia="lt-LT"/>
              </w:rPr>
              <w:t> </w:t>
            </w:r>
            <w:r w:rsidR="005C4E52">
              <w:rPr>
                <w:rFonts w:ascii="Times New Roman" w:eastAsia="Times New Roman" w:hAnsi="Times New Roman" w:cs="Times New Roman"/>
                <w:b/>
                <w:bCs/>
                <w:color w:val="000000"/>
                <w:sz w:val="24"/>
                <w:szCs w:val="24"/>
                <w:lang w:eastAsia="lt-LT"/>
              </w:rPr>
              <w:t>5.1</w:t>
            </w:r>
          </w:p>
        </w:tc>
        <w:tc>
          <w:tcPr>
            <w:tcW w:w="4818" w:type="dxa"/>
            <w:vMerge w:val="restart"/>
            <w:shd w:val="clear" w:color="auto" w:fill="auto"/>
            <w:vAlign w:val="center"/>
            <w:hideMark/>
          </w:tcPr>
          <w:p w14:paraId="6352F933" w14:textId="12FAE2B5"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Imtis skubių veiksmų</w:t>
            </w:r>
            <w:r w:rsidR="005C4E52">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 xml:space="preserve"> siekiant pagerinti rinkodaros veiklą, kuri skatintų Universiteto viešinimą Lietuvoje ir už jos ribų. </w:t>
            </w:r>
          </w:p>
        </w:tc>
        <w:tc>
          <w:tcPr>
            <w:tcW w:w="4901" w:type="dxa"/>
            <w:vMerge w:val="restart"/>
            <w:shd w:val="clear" w:color="auto" w:fill="auto"/>
            <w:vAlign w:val="center"/>
            <w:hideMark/>
          </w:tcPr>
          <w:p w14:paraId="012F16E3" w14:textId="0B7A1CBB" w:rsidR="001B5EF9" w:rsidRPr="00AC2A30" w:rsidRDefault="001B5EF9" w:rsidP="005C4E52">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 xml:space="preserve">Parengti </w:t>
            </w:r>
            <w:r w:rsidR="007A066D">
              <w:rPr>
                <w:rFonts w:ascii="Times New Roman" w:eastAsia="Times New Roman" w:hAnsi="Times New Roman" w:cs="Times New Roman"/>
                <w:color w:val="000000"/>
                <w:sz w:val="24"/>
                <w:szCs w:val="24"/>
                <w:lang w:eastAsia="lt-LT"/>
              </w:rPr>
              <w:t xml:space="preserve">studijų </w:t>
            </w:r>
            <w:r w:rsidRPr="00AC2A30">
              <w:rPr>
                <w:rFonts w:ascii="Times New Roman" w:eastAsia="Times New Roman" w:hAnsi="Times New Roman" w:cs="Times New Roman"/>
                <w:color w:val="000000"/>
                <w:sz w:val="24"/>
                <w:szCs w:val="24"/>
                <w:lang w:eastAsia="lt-LT"/>
              </w:rPr>
              <w:t>tarptautinės rinkodaros planą 2016</w:t>
            </w:r>
            <w:r w:rsidR="005C4E52">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2017 m</w:t>
            </w:r>
            <w:r w:rsidR="005C4E52">
              <w:rPr>
                <w:rFonts w:ascii="Times New Roman" w:eastAsia="Times New Roman" w:hAnsi="Times New Roman" w:cs="Times New Roman"/>
                <w:color w:val="000000"/>
                <w:sz w:val="24"/>
                <w:szCs w:val="24"/>
                <w:lang w:eastAsia="lt-LT"/>
              </w:rPr>
              <w:t>okslo</w:t>
            </w:r>
            <w:r w:rsidRPr="00AC2A30">
              <w:rPr>
                <w:rFonts w:ascii="Times New Roman" w:eastAsia="Times New Roman" w:hAnsi="Times New Roman" w:cs="Times New Roman"/>
                <w:color w:val="000000"/>
                <w:sz w:val="24"/>
                <w:szCs w:val="24"/>
                <w:lang w:eastAsia="lt-LT"/>
              </w:rPr>
              <w:t xml:space="preserve"> metams</w:t>
            </w:r>
            <w:r w:rsidR="005C4E52">
              <w:rPr>
                <w:rFonts w:ascii="Times New Roman" w:eastAsia="Times New Roman" w:hAnsi="Times New Roman" w:cs="Times New Roman"/>
                <w:color w:val="000000"/>
                <w:sz w:val="24"/>
                <w:szCs w:val="24"/>
                <w:lang w:eastAsia="lt-LT"/>
              </w:rPr>
              <w:t>.</w:t>
            </w:r>
          </w:p>
        </w:tc>
        <w:tc>
          <w:tcPr>
            <w:tcW w:w="2217" w:type="dxa"/>
            <w:vMerge w:val="restart"/>
            <w:shd w:val="clear" w:color="auto" w:fill="auto"/>
            <w:vAlign w:val="center"/>
            <w:hideMark/>
          </w:tcPr>
          <w:p w14:paraId="068DB186" w14:textId="15259993" w:rsidR="001B5EF9" w:rsidRPr="00AC2A30" w:rsidRDefault="005C4E52" w:rsidP="001B5EF9">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Tarptautinių ryšių ir plėtros</w:t>
            </w:r>
            <w:r w:rsidRPr="00AC2A30">
              <w:rPr>
                <w:rFonts w:ascii="Times New Roman" w:eastAsia="Times New Roman" w:hAnsi="Times New Roman" w:cs="Times New Roman"/>
                <w:color w:val="000000"/>
                <w:sz w:val="24"/>
                <w:szCs w:val="24"/>
                <w:lang w:eastAsia="lt-LT"/>
              </w:rPr>
              <w:t xml:space="preserve"> prorektorius</w:t>
            </w:r>
          </w:p>
        </w:tc>
        <w:tc>
          <w:tcPr>
            <w:tcW w:w="1176" w:type="dxa"/>
            <w:vMerge w:val="restart"/>
            <w:shd w:val="clear" w:color="auto" w:fill="auto"/>
            <w:vAlign w:val="center"/>
            <w:hideMark/>
          </w:tcPr>
          <w:p w14:paraId="04E017DC" w14:textId="5E8151D3"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2015</w:t>
            </w:r>
            <w:r w:rsidR="005C4E52">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12</w:t>
            </w:r>
          </w:p>
        </w:tc>
      </w:tr>
      <w:tr w:rsidR="001B5EF9" w:rsidRPr="00AC2A30" w14:paraId="46BA6C06" w14:textId="77777777" w:rsidTr="00966FC0">
        <w:trPr>
          <w:trHeight w:val="315"/>
        </w:trPr>
        <w:tc>
          <w:tcPr>
            <w:tcW w:w="948" w:type="dxa"/>
            <w:vMerge/>
            <w:vAlign w:val="center"/>
            <w:hideMark/>
          </w:tcPr>
          <w:p w14:paraId="2DDBA380" w14:textId="77777777" w:rsidR="001B5EF9" w:rsidRPr="00AC2A30" w:rsidRDefault="001B5EF9" w:rsidP="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5E1C4448"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4901" w:type="dxa"/>
            <w:vMerge/>
            <w:vAlign w:val="center"/>
            <w:hideMark/>
          </w:tcPr>
          <w:p w14:paraId="7D7475BD"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2217" w:type="dxa"/>
            <w:vMerge/>
            <w:vAlign w:val="center"/>
            <w:hideMark/>
          </w:tcPr>
          <w:p w14:paraId="77D5CFF7"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1176" w:type="dxa"/>
            <w:vMerge/>
            <w:vAlign w:val="center"/>
            <w:hideMark/>
          </w:tcPr>
          <w:p w14:paraId="60981DC1"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r>
      <w:tr w:rsidR="001B5EF9" w:rsidRPr="00AC2A30" w14:paraId="77AE8A34" w14:textId="77777777" w:rsidTr="00966FC0">
        <w:trPr>
          <w:trHeight w:val="412"/>
        </w:trPr>
        <w:tc>
          <w:tcPr>
            <w:tcW w:w="948" w:type="dxa"/>
            <w:vMerge/>
            <w:vAlign w:val="center"/>
            <w:hideMark/>
          </w:tcPr>
          <w:p w14:paraId="78CF0622" w14:textId="77777777" w:rsidR="001B5EF9" w:rsidRPr="00AC2A30" w:rsidRDefault="001B5EF9" w:rsidP="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392B2C08"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4901" w:type="dxa"/>
            <w:shd w:val="clear" w:color="auto" w:fill="auto"/>
            <w:vAlign w:val="center"/>
            <w:hideMark/>
          </w:tcPr>
          <w:p w14:paraId="4844F51D" w14:textId="3BCF2ADA" w:rsidR="001B5EF9" w:rsidRPr="00AC2A30" w:rsidRDefault="001B5EF9" w:rsidP="007A066D">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 xml:space="preserve">Įtvirtinti studijas vykdančių padalinių rinkodaros veiklų planavimo procesą ir įvesti planų laikymosi </w:t>
            </w:r>
            <w:r w:rsidR="007A066D">
              <w:rPr>
                <w:rFonts w:ascii="Times New Roman" w:eastAsia="Times New Roman" w:hAnsi="Times New Roman" w:cs="Times New Roman"/>
                <w:color w:val="000000"/>
                <w:sz w:val="24"/>
                <w:szCs w:val="24"/>
                <w:lang w:eastAsia="lt-LT"/>
              </w:rPr>
              <w:t>stebėseną</w:t>
            </w:r>
            <w:r w:rsidRPr="00AC2A30">
              <w:rPr>
                <w:rFonts w:ascii="Times New Roman" w:eastAsia="Times New Roman" w:hAnsi="Times New Roman" w:cs="Times New Roman"/>
                <w:color w:val="000000"/>
                <w:sz w:val="24"/>
                <w:szCs w:val="24"/>
                <w:lang w:eastAsia="lt-LT"/>
              </w:rPr>
              <w:t xml:space="preserve"> bei atskaitomybę. Studijų rinkodaros procesus perorientuoti į veiklas pagal studijų programų grupes (ne pagal fakultetus).</w:t>
            </w:r>
            <w:r w:rsidR="007A066D">
              <w:rPr>
                <w:rFonts w:ascii="Times New Roman" w:eastAsia="Times New Roman" w:hAnsi="Times New Roman" w:cs="Times New Roman"/>
                <w:color w:val="000000"/>
                <w:sz w:val="24"/>
                <w:szCs w:val="24"/>
                <w:lang w:eastAsia="lt-LT"/>
              </w:rPr>
              <w:t xml:space="preserve"> </w:t>
            </w:r>
            <w:r w:rsidRPr="00AC2A30">
              <w:rPr>
                <w:rFonts w:ascii="Times New Roman" w:eastAsia="Times New Roman" w:hAnsi="Times New Roman" w:cs="Times New Roman"/>
                <w:color w:val="000000"/>
                <w:sz w:val="24"/>
                <w:szCs w:val="24"/>
                <w:lang w:eastAsia="lt-LT"/>
              </w:rPr>
              <w:t>Į studijų rinkodaros planų rengimą įtraukti turinio valdytojus – SPV.</w:t>
            </w:r>
          </w:p>
        </w:tc>
        <w:tc>
          <w:tcPr>
            <w:tcW w:w="2217" w:type="dxa"/>
            <w:shd w:val="clear" w:color="auto" w:fill="auto"/>
            <w:vAlign w:val="center"/>
            <w:hideMark/>
          </w:tcPr>
          <w:p w14:paraId="187C3AF2" w14:textId="222CF90D"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Rinkodaros ir komunikacijos direktor</w:t>
            </w:r>
            <w:r w:rsidR="005C4E52">
              <w:rPr>
                <w:rFonts w:ascii="Times New Roman" w:eastAsia="Times New Roman" w:hAnsi="Times New Roman" w:cs="Times New Roman"/>
                <w:color w:val="000000"/>
                <w:sz w:val="24"/>
                <w:szCs w:val="24"/>
                <w:lang w:eastAsia="lt-LT"/>
              </w:rPr>
              <w:t>ius</w:t>
            </w:r>
          </w:p>
        </w:tc>
        <w:tc>
          <w:tcPr>
            <w:tcW w:w="1176" w:type="dxa"/>
            <w:shd w:val="clear" w:color="auto" w:fill="auto"/>
            <w:vAlign w:val="center"/>
            <w:hideMark/>
          </w:tcPr>
          <w:p w14:paraId="70EE0E7B" w14:textId="325B22B1" w:rsidR="001B5EF9" w:rsidRPr="00AC2A30" w:rsidRDefault="007A066D" w:rsidP="001B5EF9">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2016</w:t>
            </w:r>
            <w:r w:rsidR="005C4E52">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12</w:t>
            </w:r>
          </w:p>
        </w:tc>
      </w:tr>
      <w:tr w:rsidR="001B5EF9" w:rsidRPr="00AC2A30" w14:paraId="53462A81" w14:textId="77777777" w:rsidTr="00966FC0">
        <w:trPr>
          <w:trHeight w:val="986"/>
        </w:trPr>
        <w:tc>
          <w:tcPr>
            <w:tcW w:w="948" w:type="dxa"/>
            <w:vMerge/>
            <w:vAlign w:val="center"/>
            <w:hideMark/>
          </w:tcPr>
          <w:p w14:paraId="7DF8E11A" w14:textId="77777777" w:rsidR="001B5EF9" w:rsidRPr="00AC2A30" w:rsidRDefault="001B5EF9" w:rsidP="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4FE09828"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4901" w:type="dxa"/>
            <w:shd w:val="clear" w:color="auto" w:fill="auto"/>
            <w:vAlign w:val="center"/>
            <w:hideMark/>
          </w:tcPr>
          <w:p w14:paraId="763A1E27" w14:textId="6D4EB844" w:rsidR="001B5EF9" w:rsidRPr="00AC2A30" w:rsidRDefault="001B5EF9" w:rsidP="007A066D">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Optimizuoti pareigybių, susijusių su rinkodaros ir komunikacijos veiklomis, pavaldumą bei rinkodaros veiklų finansavimo modelį (pereiti nuo fakultetų prie studijų programų grupių (produktų))</w:t>
            </w:r>
            <w:r w:rsidR="005C4E52">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703B10BD" w14:textId="77777777" w:rsidR="007A066D" w:rsidRDefault="007A066D" w:rsidP="001B5EF9">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Vykdomasis direktorius</w:t>
            </w:r>
          </w:p>
          <w:p w14:paraId="2EA3C664" w14:textId="7FFFEBFB"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Rinkodaros ir komunikacijos direktor</w:t>
            </w:r>
            <w:r w:rsidR="005C4E52">
              <w:rPr>
                <w:rFonts w:ascii="Times New Roman" w:eastAsia="Times New Roman" w:hAnsi="Times New Roman" w:cs="Times New Roman"/>
                <w:color w:val="000000"/>
                <w:sz w:val="24"/>
                <w:szCs w:val="24"/>
                <w:lang w:eastAsia="lt-LT"/>
              </w:rPr>
              <w:t>ius</w:t>
            </w:r>
          </w:p>
        </w:tc>
        <w:tc>
          <w:tcPr>
            <w:tcW w:w="1176" w:type="dxa"/>
            <w:shd w:val="clear" w:color="auto" w:fill="auto"/>
            <w:vAlign w:val="center"/>
            <w:hideMark/>
          </w:tcPr>
          <w:p w14:paraId="5BFEA67F" w14:textId="180CEFF3"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sidR="005C4E52">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12</w:t>
            </w:r>
          </w:p>
        </w:tc>
      </w:tr>
      <w:tr w:rsidR="001B5EF9" w:rsidRPr="00AC2A30" w14:paraId="60A00C62" w14:textId="77777777" w:rsidTr="00966FC0">
        <w:trPr>
          <w:trHeight w:val="1539"/>
        </w:trPr>
        <w:tc>
          <w:tcPr>
            <w:tcW w:w="948" w:type="dxa"/>
            <w:vMerge/>
            <w:vAlign w:val="center"/>
            <w:hideMark/>
          </w:tcPr>
          <w:p w14:paraId="45D984EF" w14:textId="24FE1441" w:rsidR="001B5EF9" w:rsidRPr="00AC2A30" w:rsidRDefault="001B5EF9" w:rsidP="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44CD9825"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4901" w:type="dxa"/>
            <w:shd w:val="clear" w:color="auto" w:fill="auto"/>
            <w:vAlign w:val="center"/>
            <w:hideMark/>
          </w:tcPr>
          <w:p w14:paraId="1E529CAF" w14:textId="611DA22A" w:rsidR="001B5EF9" w:rsidRPr="00AC2A30" w:rsidRDefault="001B5EF9" w:rsidP="007A066D">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 xml:space="preserve">Perorganizuoti studijų programų informacijos pateikimą internetu ir spausdintose priemonėse pagal tikslinių grupių poreikius, elgesio tipologijų, sprendimų priėmimo kelius, o </w:t>
            </w:r>
            <w:proofErr w:type="spellStart"/>
            <w:r w:rsidRPr="00AC2A30">
              <w:rPr>
                <w:rFonts w:ascii="Times New Roman" w:eastAsia="Times New Roman" w:hAnsi="Times New Roman" w:cs="Times New Roman"/>
                <w:color w:val="000000"/>
                <w:sz w:val="24"/>
                <w:szCs w:val="24"/>
                <w:lang w:eastAsia="lt-LT"/>
              </w:rPr>
              <w:t>rinkodarines</w:t>
            </w:r>
            <w:proofErr w:type="spellEnd"/>
            <w:r w:rsidRPr="00AC2A30">
              <w:rPr>
                <w:rFonts w:ascii="Times New Roman" w:eastAsia="Times New Roman" w:hAnsi="Times New Roman" w:cs="Times New Roman"/>
                <w:color w:val="000000"/>
                <w:sz w:val="24"/>
                <w:szCs w:val="24"/>
                <w:lang w:eastAsia="lt-LT"/>
              </w:rPr>
              <w:t xml:space="preserve"> veiklas mokyklose orientuoti į profesinį orientavimą</w:t>
            </w:r>
            <w:r w:rsidR="005C4E52">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6251A5DC" w14:textId="435E092E"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Rinkodaros ir komunikacijos direktor</w:t>
            </w:r>
            <w:r w:rsidR="005C4E52">
              <w:rPr>
                <w:rFonts w:ascii="Times New Roman" w:eastAsia="Times New Roman" w:hAnsi="Times New Roman" w:cs="Times New Roman"/>
                <w:color w:val="000000"/>
                <w:sz w:val="24"/>
                <w:szCs w:val="24"/>
                <w:lang w:eastAsia="lt-LT"/>
              </w:rPr>
              <w:t>ius</w:t>
            </w:r>
          </w:p>
        </w:tc>
        <w:tc>
          <w:tcPr>
            <w:tcW w:w="1176" w:type="dxa"/>
            <w:shd w:val="clear" w:color="auto" w:fill="auto"/>
            <w:vAlign w:val="center"/>
            <w:hideMark/>
          </w:tcPr>
          <w:p w14:paraId="7154E347" w14:textId="099303A1"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sidR="005C4E52">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12</w:t>
            </w:r>
          </w:p>
        </w:tc>
      </w:tr>
      <w:tr w:rsidR="001B5EF9" w:rsidRPr="00AC2A30" w14:paraId="31AFDD2D" w14:textId="77777777" w:rsidTr="00966FC0">
        <w:trPr>
          <w:trHeight w:val="980"/>
        </w:trPr>
        <w:tc>
          <w:tcPr>
            <w:tcW w:w="948" w:type="dxa"/>
            <w:vMerge/>
            <w:vAlign w:val="center"/>
            <w:hideMark/>
          </w:tcPr>
          <w:p w14:paraId="7707F386" w14:textId="77777777" w:rsidR="001B5EF9" w:rsidRPr="00AC2A30" w:rsidRDefault="001B5EF9" w:rsidP="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0716596A"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4901" w:type="dxa"/>
            <w:shd w:val="clear" w:color="auto" w:fill="auto"/>
            <w:vAlign w:val="center"/>
            <w:hideMark/>
          </w:tcPr>
          <w:p w14:paraId="7F70E330" w14:textId="359B660B" w:rsidR="001B5EF9" w:rsidRPr="00AC2A30" w:rsidRDefault="001B5EF9" w:rsidP="007A066D">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Vystyti skėtinį prekės ženklą, kuriant prekinių ženklų grupes, atitinkamai identifikuojančias ir komunikuojančias Universitetą, jo veiklas ir struktūras</w:t>
            </w:r>
            <w:r w:rsidR="005C4E52">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28C8A4AC" w14:textId="67FEE9C3"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Rinkodaros ir komunikacijos direktor</w:t>
            </w:r>
            <w:r w:rsidR="005C4E52">
              <w:rPr>
                <w:rFonts w:ascii="Times New Roman" w:eastAsia="Times New Roman" w:hAnsi="Times New Roman" w:cs="Times New Roman"/>
                <w:color w:val="000000"/>
                <w:sz w:val="24"/>
                <w:szCs w:val="24"/>
                <w:lang w:eastAsia="lt-LT"/>
              </w:rPr>
              <w:t>ius</w:t>
            </w:r>
          </w:p>
        </w:tc>
        <w:tc>
          <w:tcPr>
            <w:tcW w:w="1176" w:type="dxa"/>
            <w:shd w:val="clear" w:color="auto" w:fill="auto"/>
            <w:vAlign w:val="center"/>
            <w:hideMark/>
          </w:tcPr>
          <w:p w14:paraId="34621441" w14:textId="395AD979"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2016</w:t>
            </w:r>
            <w:r w:rsidR="005C4E52">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12</w:t>
            </w:r>
          </w:p>
        </w:tc>
      </w:tr>
      <w:tr w:rsidR="001B5EF9" w:rsidRPr="00AC2A30" w14:paraId="6A6EFA20" w14:textId="77777777" w:rsidTr="00966FC0">
        <w:trPr>
          <w:trHeight w:val="955"/>
        </w:trPr>
        <w:tc>
          <w:tcPr>
            <w:tcW w:w="948" w:type="dxa"/>
            <w:vMerge/>
            <w:vAlign w:val="center"/>
            <w:hideMark/>
          </w:tcPr>
          <w:p w14:paraId="42C4DFD7" w14:textId="77777777" w:rsidR="001B5EF9" w:rsidRPr="00AC2A30" w:rsidRDefault="001B5EF9" w:rsidP="001B5EF9">
            <w:pPr>
              <w:spacing w:after="0" w:line="240" w:lineRule="auto"/>
              <w:rPr>
                <w:rFonts w:ascii="Times New Roman" w:eastAsia="Times New Roman" w:hAnsi="Times New Roman" w:cs="Times New Roman"/>
                <w:b/>
                <w:bCs/>
                <w:color w:val="000000"/>
                <w:sz w:val="24"/>
                <w:szCs w:val="24"/>
                <w:lang w:eastAsia="lt-LT"/>
              </w:rPr>
            </w:pPr>
          </w:p>
        </w:tc>
        <w:tc>
          <w:tcPr>
            <w:tcW w:w="4818" w:type="dxa"/>
            <w:vMerge/>
            <w:vAlign w:val="center"/>
            <w:hideMark/>
          </w:tcPr>
          <w:p w14:paraId="15CC0271" w14:textId="77777777"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p>
        </w:tc>
        <w:tc>
          <w:tcPr>
            <w:tcW w:w="4901" w:type="dxa"/>
            <w:shd w:val="clear" w:color="auto" w:fill="auto"/>
            <w:vAlign w:val="center"/>
            <w:hideMark/>
          </w:tcPr>
          <w:p w14:paraId="4E865987" w14:textId="6D55C58E" w:rsidR="001B5EF9" w:rsidRPr="00AC2A30" w:rsidRDefault="001B5EF9" w:rsidP="007A066D">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Parengti U</w:t>
            </w:r>
            <w:r w:rsidR="005C4E52">
              <w:rPr>
                <w:rFonts w:ascii="Times New Roman" w:eastAsia="Times New Roman" w:hAnsi="Times New Roman" w:cs="Times New Roman"/>
                <w:color w:val="000000"/>
                <w:sz w:val="24"/>
                <w:szCs w:val="24"/>
                <w:lang w:eastAsia="lt-LT"/>
              </w:rPr>
              <w:t>niversiteto</w:t>
            </w:r>
            <w:r w:rsidRPr="00AC2A30">
              <w:rPr>
                <w:rFonts w:ascii="Times New Roman" w:eastAsia="Times New Roman" w:hAnsi="Times New Roman" w:cs="Times New Roman"/>
                <w:color w:val="000000"/>
                <w:sz w:val="24"/>
                <w:szCs w:val="24"/>
                <w:lang w:eastAsia="lt-LT"/>
              </w:rPr>
              <w:t xml:space="preserve"> ekspertų (nuomonės lyderių) žinomumo / matomumo įtvirtinimo žiniasklaidoje planą</w:t>
            </w:r>
            <w:r w:rsidR="005C4E52">
              <w:rPr>
                <w:rFonts w:ascii="Times New Roman" w:eastAsia="Times New Roman" w:hAnsi="Times New Roman" w:cs="Times New Roman"/>
                <w:color w:val="000000"/>
                <w:sz w:val="24"/>
                <w:szCs w:val="24"/>
                <w:lang w:eastAsia="lt-LT"/>
              </w:rPr>
              <w:t>.</w:t>
            </w:r>
          </w:p>
        </w:tc>
        <w:tc>
          <w:tcPr>
            <w:tcW w:w="2217" w:type="dxa"/>
            <w:shd w:val="clear" w:color="auto" w:fill="auto"/>
            <w:vAlign w:val="center"/>
            <w:hideMark/>
          </w:tcPr>
          <w:p w14:paraId="13257DE4" w14:textId="0E88C72F"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Rinkodaros ir komunikacijos direktor</w:t>
            </w:r>
            <w:r w:rsidR="005C4E52">
              <w:rPr>
                <w:rFonts w:ascii="Times New Roman" w:eastAsia="Times New Roman" w:hAnsi="Times New Roman" w:cs="Times New Roman"/>
                <w:color w:val="000000"/>
                <w:sz w:val="24"/>
                <w:szCs w:val="24"/>
                <w:lang w:eastAsia="lt-LT"/>
              </w:rPr>
              <w:t>ius</w:t>
            </w:r>
          </w:p>
        </w:tc>
        <w:tc>
          <w:tcPr>
            <w:tcW w:w="1176" w:type="dxa"/>
            <w:shd w:val="clear" w:color="auto" w:fill="auto"/>
            <w:vAlign w:val="center"/>
            <w:hideMark/>
          </w:tcPr>
          <w:p w14:paraId="205B523F" w14:textId="304E0D73" w:rsidR="001B5EF9" w:rsidRPr="00AC2A30" w:rsidRDefault="001B5EF9" w:rsidP="001B5EF9">
            <w:pPr>
              <w:spacing w:after="0" w:line="240" w:lineRule="auto"/>
              <w:rPr>
                <w:rFonts w:ascii="Times New Roman" w:eastAsia="Times New Roman" w:hAnsi="Times New Roman" w:cs="Times New Roman"/>
                <w:color w:val="000000"/>
                <w:sz w:val="24"/>
                <w:szCs w:val="24"/>
                <w:lang w:eastAsia="lt-LT"/>
              </w:rPr>
            </w:pPr>
            <w:r w:rsidRPr="00AC2A30">
              <w:rPr>
                <w:rFonts w:ascii="Times New Roman" w:eastAsia="Times New Roman" w:hAnsi="Times New Roman" w:cs="Times New Roman"/>
                <w:color w:val="000000"/>
                <w:sz w:val="24"/>
                <w:szCs w:val="24"/>
                <w:lang w:eastAsia="lt-LT"/>
              </w:rPr>
              <w:t>2015</w:t>
            </w:r>
            <w:r w:rsidR="005C4E52">
              <w:rPr>
                <w:rFonts w:ascii="Times New Roman" w:eastAsia="Times New Roman" w:hAnsi="Times New Roman" w:cs="Times New Roman"/>
                <w:color w:val="000000"/>
                <w:sz w:val="24"/>
                <w:szCs w:val="24"/>
                <w:lang w:eastAsia="lt-LT"/>
              </w:rPr>
              <w:t>-</w:t>
            </w:r>
            <w:r w:rsidRPr="00AC2A30">
              <w:rPr>
                <w:rFonts w:ascii="Times New Roman" w:eastAsia="Times New Roman" w:hAnsi="Times New Roman" w:cs="Times New Roman"/>
                <w:color w:val="000000"/>
                <w:sz w:val="24"/>
                <w:szCs w:val="24"/>
                <w:lang w:eastAsia="lt-LT"/>
              </w:rPr>
              <w:t>12</w:t>
            </w:r>
          </w:p>
        </w:tc>
      </w:tr>
    </w:tbl>
    <w:p w14:paraId="6FFB10C4" w14:textId="77777777" w:rsidR="00DD1BF7" w:rsidRPr="00AC2A30" w:rsidRDefault="00DD1BF7" w:rsidP="00DD1BF7">
      <w:pPr>
        <w:rPr>
          <w:rFonts w:ascii="Times New Roman" w:hAnsi="Times New Roman" w:cs="Times New Roman"/>
          <w:sz w:val="24"/>
          <w:szCs w:val="24"/>
        </w:rPr>
      </w:pPr>
    </w:p>
    <w:sectPr w:rsidR="00DD1BF7" w:rsidRPr="00AC2A30" w:rsidSect="00CD2A4F">
      <w:headerReference w:type="default" r:id="rId8"/>
      <w:footerReference w:type="default" r:id="rId9"/>
      <w:pgSz w:w="16838" w:h="11906" w:orient="landscape"/>
      <w:pgMar w:top="567"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2D6F0" w14:textId="77777777" w:rsidR="00641EF7" w:rsidRDefault="00641EF7" w:rsidP="00A91AEF">
      <w:pPr>
        <w:spacing w:after="0" w:line="240" w:lineRule="auto"/>
      </w:pPr>
      <w:r>
        <w:separator/>
      </w:r>
    </w:p>
  </w:endnote>
  <w:endnote w:type="continuationSeparator" w:id="0">
    <w:p w14:paraId="7090DCA6" w14:textId="77777777" w:rsidR="00641EF7" w:rsidRDefault="00641EF7" w:rsidP="00A9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C950" w14:textId="381EC6F0" w:rsidR="004A1258" w:rsidRDefault="004A1258">
    <w:pPr>
      <w:pStyle w:val="Footer"/>
      <w:jc w:val="center"/>
    </w:pPr>
  </w:p>
  <w:p w14:paraId="1FC3FA66" w14:textId="77777777" w:rsidR="004A1258" w:rsidRDefault="004A1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A7A58" w14:textId="77777777" w:rsidR="00641EF7" w:rsidRDefault="00641EF7" w:rsidP="00A91AEF">
      <w:pPr>
        <w:spacing w:after="0" w:line="240" w:lineRule="auto"/>
      </w:pPr>
      <w:r>
        <w:separator/>
      </w:r>
    </w:p>
  </w:footnote>
  <w:footnote w:type="continuationSeparator" w:id="0">
    <w:p w14:paraId="7C7953A6" w14:textId="77777777" w:rsidR="00641EF7" w:rsidRDefault="00641EF7" w:rsidP="00A91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6001"/>
      <w:docPartObj>
        <w:docPartGallery w:val="Page Numbers (Top of Page)"/>
        <w:docPartUnique/>
      </w:docPartObj>
    </w:sdtPr>
    <w:sdtEndPr>
      <w:rPr>
        <w:rFonts w:ascii="Times New Roman" w:hAnsi="Times New Roman" w:cs="Times New Roman"/>
      </w:rPr>
    </w:sdtEndPr>
    <w:sdtContent>
      <w:p w14:paraId="0556044F" w14:textId="45BD2D19" w:rsidR="005C4E52" w:rsidRPr="00CD2A4F" w:rsidRDefault="005C4E52">
        <w:pPr>
          <w:pStyle w:val="Header"/>
          <w:jc w:val="center"/>
          <w:rPr>
            <w:rFonts w:ascii="Times New Roman" w:hAnsi="Times New Roman" w:cs="Times New Roman"/>
          </w:rPr>
        </w:pPr>
        <w:r w:rsidRPr="00CD2A4F">
          <w:rPr>
            <w:rFonts w:ascii="Times New Roman" w:hAnsi="Times New Roman" w:cs="Times New Roman"/>
          </w:rPr>
          <w:fldChar w:fldCharType="begin"/>
        </w:r>
        <w:r w:rsidRPr="00CD2A4F">
          <w:rPr>
            <w:rFonts w:ascii="Times New Roman" w:hAnsi="Times New Roman" w:cs="Times New Roman"/>
          </w:rPr>
          <w:instrText>PAGE   \* MERGEFORMAT</w:instrText>
        </w:r>
        <w:r w:rsidRPr="00CD2A4F">
          <w:rPr>
            <w:rFonts w:ascii="Times New Roman" w:hAnsi="Times New Roman" w:cs="Times New Roman"/>
          </w:rPr>
          <w:fldChar w:fldCharType="separate"/>
        </w:r>
        <w:r w:rsidR="00045E12">
          <w:rPr>
            <w:rFonts w:ascii="Times New Roman" w:hAnsi="Times New Roman" w:cs="Times New Roman"/>
            <w:noProof/>
          </w:rPr>
          <w:t>2</w:t>
        </w:r>
        <w:r w:rsidRPr="00CD2A4F">
          <w:rPr>
            <w:rFonts w:ascii="Times New Roman" w:hAnsi="Times New Roman" w:cs="Times New Roman"/>
          </w:rPr>
          <w:fldChar w:fldCharType="end"/>
        </w:r>
      </w:p>
    </w:sdtContent>
  </w:sdt>
  <w:p w14:paraId="3D9AA52F" w14:textId="77777777" w:rsidR="005C4E52" w:rsidRDefault="005C4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60AE"/>
    <w:multiLevelType w:val="hybridMultilevel"/>
    <w:tmpl w:val="A00420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1A46122"/>
    <w:multiLevelType w:val="hybridMultilevel"/>
    <w:tmpl w:val="5268B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B341297"/>
    <w:multiLevelType w:val="hybridMultilevel"/>
    <w:tmpl w:val="703C2D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416903"/>
    <w:multiLevelType w:val="hybridMultilevel"/>
    <w:tmpl w:val="E1C6F1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93"/>
    <w:rsid w:val="00034A85"/>
    <w:rsid w:val="00045E12"/>
    <w:rsid w:val="0005117D"/>
    <w:rsid w:val="00082BA2"/>
    <w:rsid w:val="000A01B1"/>
    <w:rsid w:val="000A7194"/>
    <w:rsid w:val="000B0DF0"/>
    <w:rsid w:val="001072B5"/>
    <w:rsid w:val="00155193"/>
    <w:rsid w:val="001B5EF9"/>
    <w:rsid w:val="001E03C8"/>
    <w:rsid w:val="002601B7"/>
    <w:rsid w:val="003F2A34"/>
    <w:rsid w:val="004111E8"/>
    <w:rsid w:val="00436653"/>
    <w:rsid w:val="00461C7E"/>
    <w:rsid w:val="004A1255"/>
    <w:rsid w:val="004A1258"/>
    <w:rsid w:val="0053436E"/>
    <w:rsid w:val="00571C72"/>
    <w:rsid w:val="005C4E52"/>
    <w:rsid w:val="0062676D"/>
    <w:rsid w:val="006364FF"/>
    <w:rsid w:val="00641EF7"/>
    <w:rsid w:val="007155CD"/>
    <w:rsid w:val="00720730"/>
    <w:rsid w:val="007313E1"/>
    <w:rsid w:val="007431F7"/>
    <w:rsid w:val="00765D16"/>
    <w:rsid w:val="007A066D"/>
    <w:rsid w:val="007F41BB"/>
    <w:rsid w:val="00840491"/>
    <w:rsid w:val="00852582"/>
    <w:rsid w:val="008D3E22"/>
    <w:rsid w:val="009247D0"/>
    <w:rsid w:val="0093727A"/>
    <w:rsid w:val="00950365"/>
    <w:rsid w:val="00965628"/>
    <w:rsid w:val="00966FC0"/>
    <w:rsid w:val="0099482A"/>
    <w:rsid w:val="00A74546"/>
    <w:rsid w:val="00A91AEF"/>
    <w:rsid w:val="00AC2A30"/>
    <w:rsid w:val="00B739DC"/>
    <w:rsid w:val="00BA2CD2"/>
    <w:rsid w:val="00BA41A2"/>
    <w:rsid w:val="00CB2BD3"/>
    <w:rsid w:val="00CD2A4F"/>
    <w:rsid w:val="00D35E0D"/>
    <w:rsid w:val="00D85C27"/>
    <w:rsid w:val="00DC327A"/>
    <w:rsid w:val="00DD1BF7"/>
    <w:rsid w:val="00E01039"/>
    <w:rsid w:val="00E40769"/>
    <w:rsid w:val="00F079A0"/>
    <w:rsid w:val="00FB03C2"/>
    <w:rsid w:val="00FD78B9"/>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3CEE1"/>
  <w15:docId w15:val="{8C77A1D6-4682-43A1-9C26-46ED0C7A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BF7"/>
    <w:pPr>
      <w:spacing w:after="0" w:line="240" w:lineRule="auto"/>
    </w:pPr>
  </w:style>
  <w:style w:type="paragraph" w:styleId="ListParagraph">
    <w:name w:val="List Paragraph"/>
    <w:basedOn w:val="Normal"/>
    <w:uiPriority w:val="34"/>
    <w:qFormat/>
    <w:rsid w:val="00765D16"/>
    <w:pPr>
      <w:ind w:left="720"/>
      <w:contextualSpacing/>
    </w:pPr>
  </w:style>
  <w:style w:type="paragraph" w:styleId="Header">
    <w:name w:val="header"/>
    <w:basedOn w:val="Normal"/>
    <w:link w:val="HeaderChar"/>
    <w:uiPriority w:val="99"/>
    <w:unhideWhenUsed/>
    <w:rsid w:val="00A91AEF"/>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1AEF"/>
  </w:style>
  <w:style w:type="paragraph" w:styleId="Footer">
    <w:name w:val="footer"/>
    <w:basedOn w:val="Normal"/>
    <w:link w:val="FooterChar"/>
    <w:uiPriority w:val="99"/>
    <w:unhideWhenUsed/>
    <w:rsid w:val="00A91AE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1AEF"/>
  </w:style>
  <w:style w:type="paragraph" w:styleId="BalloonText">
    <w:name w:val="Balloon Text"/>
    <w:basedOn w:val="Normal"/>
    <w:link w:val="BalloonTextChar"/>
    <w:uiPriority w:val="99"/>
    <w:semiHidden/>
    <w:unhideWhenUsed/>
    <w:rsid w:val="00BA2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CD2"/>
    <w:rPr>
      <w:rFonts w:ascii="Segoe UI" w:hAnsi="Segoe UI" w:cs="Segoe UI"/>
      <w:sz w:val="18"/>
      <w:szCs w:val="18"/>
    </w:rPr>
  </w:style>
  <w:style w:type="character" w:styleId="CommentReference">
    <w:name w:val="annotation reference"/>
    <w:basedOn w:val="DefaultParagraphFont"/>
    <w:uiPriority w:val="99"/>
    <w:semiHidden/>
    <w:unhideWhenUsed/>
    <w:rsid w:val="00852582"/>
    <w:rPr>
      <w:sz w:val="16"/>
      <w:szCs w:val="16"/>
    </w:rPr>
  </w:style>
  <w:style w:type="paragraph" w:styleId="CommentText">
    <w:name w:val="annotation text"/>
    <w:basedOn w:val="Normal"/>
    <w:link w:val="CommentTextChar"/>
    <w:uiPriority w:val="99"/>
    <w:semiHidden/>
    <w:unhideWhenUsed/>
    <w:rsid w:val="00852582"/>
    <w:pPr>
      <w:spacing w:line="240" w:lineRule="auto"/>
    </w:pPr>
    <w:rPr>
      <w:sz w:val="20"/>
      <w:szCs w:val="20"/>
    </w:rPr>
  </w:style>
  <w:style w:type="character" w:customStyle="1" w:styleId="CommentTextChar">
    <w:name w:val="Comment Text Char"/>
    <w:basedOn w:val="DefaultParagraphFont"/>
    <w:link w:val="CommentText"/>
    <w:uiPriority w:val="99"/>
    <w:semiHidden/>
    <w:rsid w:val="00852582"/>
    <w:rPr>
      <w:sz w:val="20"/>
      <w:szCs w:val="20"/>
    </w:rPr>
  </w:style>
  <w:style w:type="paragraph" w:styleId="CommentSubject">
    <w:name w:val="annotation subject"/>
    <w:basedOn w:val="CommentText"/>
    <w:next w:val="CommentText"/>
    <w:link w:val="CommentSubjectChar"/>
    <w:uiPriority w:val="99"/>
    <w:semiHidden/>
    <w:unhideWhenUsed/>
    <w:rsid w:val="00852582"/>
    <w:rPr>
      <w:b/>
      <w:bCs/>
    </w:rPr>
  </w:style>
  <w:style w:type="character" w:customStyle="1" w:styleId="CommentSubjectChar">
    <w:name w:val="Comment Subject Char"/>
    <w:basedOn w:val="CommentTextChar"/>
    <w:link w:val="CommentSubject"/>
    <w:uiPriority w:val="99"/>
    <w:semiHidden/>
    <w:rsid w:val="008525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7834">
      <w:bodyDiv w:val="1"/>
      <w:marLeft w:val="0"/>
      <w:marRight w:val="0"/>
      <w:marTop w:val="0"/>
      <w:marBottom w:val="0"/>
      <w:divBdr>
        <w:top w:val="none" w:sz="0" w:space="0" w:color="auto"/>
        <w:left w:val="none" w:sz="0" w:space="0" w:color="auto"/>
        <w:bottom w:val="none" w:sz="0" w:space="0" w:color="auto"/>
        <w:right w:val="none" w:sz="0" w:space="0" w:color="auto"/>
      </w:divBdr>
    </w:div>
    <w:div w:id="1380207770">
      <w:bodyDiv w:val="1"/>
      <w:marLeft w:val="0"/>
      <w:marRight w:val="0"/>
      <w:marTop w:val="0"/>
      <w:marBottom w:val="0"/>
      <w:divBdr>
        <w:top w:val="none" w:sz="0" w:space="0" w:color="auto"/>
        <w:left w:val="none" w:sz="0" w:space="0" w:color="auto"/>
        <w:bottom w:val="none" w:sz="0" w:space="0" w:color="auto"/>
        <w:right w:val="none" w:sz="0" w:space="0" w:color="auto"/>
      </w:divBdr>
    </w:div>
    <w:div w:id="1898976812">
      <w:bodyDiv w:val="1"/>
      <w:marLeft w:val="0"/>
      <w:marRight w:val="0"/>
      <w:marTop w:val="0"/>
      <w:marBottom w:val="0"/>
      <w:divBdr>
        <w:top w:val="none" w:sz="0" w:space="0" w:color="auto"/>
        <w:left w:val="none" w:sz="0" w:space="0" w:color="auto"/>
        <w:bottom w:val="none" w:sz="0" w:space="0" w:color="auto"/>
        <w:right w:val="none" w:sz="0" w:space="0" w:color="auto"/>
      </w:divBdr>
    </w:div>
    <w:div w:id="1933926357">
      <w:bodyDiv w:val="1"/>
      <w:marLeft w:val="0"/>
      <w:marRight w:val="0"/>
      <w:marTop w:val="0"/>
      <w:marBottom w:val="0"/>
      <w:divBdr>
        <w:top w:val="none" w:sz="0" w:space="0" w:color="auto"/>
        <w:left w:val="none" w:sz="0" w:space="0" w:color="auto"/>
        <w:bottom w:val="none" w:sz="0" w:space="0" w:color="auto"/>
        <w:right w:val="none" w:sz="0" w:space="0" w:color="auto"/>
      </w:divBdr>
    </w:div>
    <w:div w:id="1991131199">
      <w:bodyDiv w:val="1"/>
      <w:marLeft w:val="0"/>
      <w:marRight w:val="0"/>
      <w:marTop w:val="0"/>
      <w:marBottom w:val="0"/>
      <w:divBdr>
        <w:top w:val="none" w:sz="0" w:space="0" w:color="auto"/>
        <w:left w:val="none" w:sz="0" w:space="0" w:color="auto"/>
        <w:bottom w:val="none" w:sz="0" w:space="0" w:color="auto"/>
        <w:right w:val="none" w:sz="0" w:space="0" w:color="auto"/>
      </w:divBdr>
    </w:div>
    <w:div w:id="21069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F427-B2C7-4F55-AD51-091D2B74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4133</Words>
  <Characters>2356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Aidis Stukas</dc:creator>
  <cp:keywords/>
  <dc:description/>
  <cp:lastModifiedBy>Aidis Stukas</cp:lastModifiedBy>
  <cp:revision>5</cp:revision>
  <cp:lastPrinted>2015-11-06T13:15:00Z</cp:lastPrinted>
  <dcterms:created xsi:type="dcterms:W3CDTF">2015-11-06T13:07:00Z</dcterms:created>
  <dcterms:modified xsi:type="dcterms:W3CDTF">2015-11-20T15:08:00Z</dcterms:modified>
</cp:coreProperties>
</file>